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ArialUnicodeMS"/>
          <w:kern w:val="0"/>
          <w:sz w:val="32"/>
          <w:szCs w:val="32"/>
        </w:rPr>
      </w:pPr>
    </w:p>
    <w:p>
      <w:pPr>
        <w:rPr>
          <w:rFonts w:hint="eastAsia" w:ascii="黑体" w:eastAsia="黑体" w:cs="ArialUnicodeMS"/>
          <w:kern w:val="0"/>
          <w:sz w:val="72"/>
          <w:szCs w:val="72"/>
        </w:rPr>
      </w:pPr>
    </w:p>
    <w:p>
      <w:pPr>
        <w:rPr>
          <w:rFonts w:hint="eastAsia" w:ascii="黑体" w:eastAsia="黑体" w:cs="ArialUnicodeMS"/>
          <w:kern w:val="0"/>
          <w:sz w:val="72"/>
          <w:szCs w:val="72"/>
        </w:rPr>
      </w:pPr>
    </w:p>
    <w:p>
      <w:pPr>
        <w:jc w:val="center"/>
        <w:rPr>
          <w:rFonts w:hint="eastAsia" w:ascii="黑体" w:hAnsi="黑体" w:eastAsia="黑体"/>
          <w:bCs/>
          <w:color w:val="000000"/>
          <w:sz w:val="52"/>
          <w:szCs w:val="52"/>
          <w:u w:val="none"/>
          <w:lang w:eastAsia="zh-CN"/>
        </w:rPr>
      </w:pPr>
      <w:r>
        <w:rPr>
          <w:rFonts w:hint="eastAsia" w:ascii="黑体" w:eastAsia="黑体" w:cs="ArialUnicodeMS"/>
          <w:kern w:val="0"/>
          <w:sz w:val="52"/>
          <w:szCs w:val="52"/>
          <w:lang w:eastAsia="zh-CN"/>
        </w:rPr>
        <w:t>柳州市</w:t>
      </w:r>
      <w:r>
        <w:rPr>
          <w:rFonts w:hint="eastAsia" w:ascii="黑体" w:hAnsi="黑体" w:eastAsia="黑体"/>
          <w:bCs/>
          <w:color w:val="000000"/>
          <w:sz w:val="52"/>
          <w:szCs w:val="52"/>
          <w:u w:val="none"/>
          <w:lang w:eastAsia="zh-CN"/>
        </w:rPr>
        <w:t>残疾人联合会</w:t>
      </w:r>
    </w:p>
    <w:p>
      <w:pPr>
        <w:jc w:val="center"/>
        <w:rPr>
          <w:rFonts w:hint="eastAsia" w:ascii="黑体" w:eastAsia="黑体" w:cs="ArialUnicodeMS"/>
          <w:kern w:val="0"/>
          <w:sz w:val="52"/>
          <w:szCs w:val="52"/>
        </w:rPr>
      </w:pPr>
      <w:r>
        <w:rPr>
          <w:rFonts w:hint="eastAsia" w:ascii="黑体" w:eastAsia="黑体"/>
          <w:kern w:val="0"/>
          <w:sz w:val="52"/>
          <w:szCs w:val="52"/>
          <w:lang w:val="en-US" w:eastAsia="zh-CN"/>
        </w:rPr>
        <w:t>2020</w:t>
      </w:r>
      <w:r>
        <w:rPr>
          <w:rFonts w:hint="eastAsia" w:ascii="黑体" w:eastAsia="黑体" w:cs="ArialUnicodeMS"/>
          <w:kern w:val="0"/>
          <w:sz w:val="52"/>
          <w:szCs w:val="52"/>
        </w:rPr>
        <w:t>年</w:t>
      </w:r>
      <w:r>
        <w:rPr>
          <w:rFonts w:hint="eastAsia" w:ascii="黑体" w:eastAsia="黑体" w:cs="ArialUnicodeMS"/>
          <w:kern w:val="0"/>
          <w:sz w:val="52"/>
          <w:szCs w:val="52"/>
          <w:lang w:eastAsia="zh-CN"/>
        </w:rPr>
        <w:t>度</w:t>
      </w:r>
      <w:r>
        <w:rPr>
          <w:rFonts w:hint="eastAsia" w:ascii="黑体" w:eastAsia="黑体" w:cs="ArialUnicodeMS"/>
          <w:kern w:val="0"/>
          <w:sz w:val="52"/>
          <w:szCs w:val="52"/>
        </w:rPr>
        <w:t>部门决算</w:t>
      </w: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lang w:eastAsia="zh-CN"/>
        </w:rPr>
      </w:pPr>
    </w:p>
    <w:p>
      <w:pPr>
        <w:rPr>
          <w:rFonts w:hint="eastAsia" w:ascii="ArialUnicodeMS" w:eastAsia="ArialUnicodeMS" w:cs="ArialUnicodeMS"/>
          <w:kern w:val="0"/>
          <w:sz w:val="84"/>
          <w:szCs w:val="84"/>
          <w:lang w:eastAsia="zh-CN"/>
        </w:rPr>
      </w:pPr>
    </w:p>
    <w:p>
      <w:pPr>
        <w:rPr>
          <w:rFonts w:hint="eastAsia" w:ascii="ArialUnicodeMS" w:eastAsia="ArialUnicodeMS" w:cs="ArialUnicodeMS"/>
          <w:kern w:val="0"/>
          <w:sz w:val="84"/>
          <w:szCs w:val="84"/>
          <w:lang w:eastAsia="zh-CN"/>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ind w:firstLine="646"/>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柳州市残疾人联合会</w:t>
      </w:r>
      <w:r>
        <w:rPr>
          <w:rFonts w:hint="eastAsia" w:ascii="仿宋_GB2312" w:eastAsia="仿宋_GB2312"/>
          <w:b/>
          <w:sz w:val="32"/>
          <w:szCs w:val="32"/>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柳州市残疾人联合会</w:t>
      </w:r>
      <w:r>
        <w:rPr>
          <w:rFonts w:hint="eastAsia" w:ascii="仿宋_GB2312" w:hAnsi="黑体" w:eastAsia="仿宋_GB2312"/>
          <w:b/>
          <w:bCs/>
          <w:color w:val="000000"/>
          <w:sz w:val="32"/>
          <w:szCs w:val="32"/>
          <w:lang w:val="en-US" w:eastAsia="zh-CN"/>
        </w:rPr>
        <w:t>2020</w:t>
      </w:r>
      <w:r>
        <w:rPr>
          <w:rFonts w:hint="eastAsia" w:ascii="仿宋_GB2312" w:eastAsia="仿宋_GB2312"/>
          <w:b/>
          <w:sz w:val="32"/>
          <w:szCs w:val="32"/>
        </w:rPr>
        <w:t>年部门决算报表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highlight w:val="none"/>
        </w:rPr>
      </w:pPr>
      <w:r>
        <w:rPr>
          <w:rFonts w:hint="eastAsia" w:ascii="仿宋_GB2312" w:eastAsia="仿宋_GB2312"/>
          <w:sz w:val="32"/>
          <w:szCs w:val="32"/>
          <w:highlight w:val="none"/>
          <w:lang w:eastAsia="zh-CN"/>
        </w:rPr>
        <w:t>表九：国有资本经营预算财政拨款支出决算表</w:t>
      </w:r>
    </w:p>
    <w:p>
      <w:pPr>
        <w:ind w:firstLine="645"/>
        <w:rPr>
          <w:rFonts w:hint="eastAsia"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柳州市残疾人联合会</w:t>
      </w:r>
      <w:r>
        <w:rPr>
          <w:rFonts w:hint="eastAsia" w:ascii="仿宋_GB2312" w:eastAsia="仿宋_GB2312"/>
          <w:b/>
          <w:sz w:val="32"/>
          <w:szCs w:val="32"/>
          <w:lang w:val="en-US" w:eastAsia="zh-CN"/>
        </w:rPr>
        <w:t>2020</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eastAsia="仿宋_GB2312"/>
          <w:kern w:val="0"/>
          <w:sz w:val="32"/>
          <w:szCs w:val="32"/>
        </w:rPr>
        <w:t>2020</w:t>
      </w:r>
      <w:r>
        <w:rPr>
          <w:rFonts w:hint="eastAsia" w:ascii="仿宋_GB2312" w:eastAsia="仿宋_GB2312" w:cs="仿宋_GB2312"/>
          <w:bCs/>
          <w:kern w:val="0"/>
          <w:sz w:val="32"/>
          <w:szCs w:val="32"/>
        </w:rPr>
        <w:t xml:space="preserve"> 年度政府性基金预算财政拨款收入支出决算情况</w:t>
      </w:r>
    </w:p>
    <w:p>
      <w:pPr>
        <w:ind w:left="645"/>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rPr>
        <w:t>九、</w:t>
      </w:r>
      <w:r>
        <w:rPr>
          <w:rFonts w:hint="eastAsia" w:ascii="仿宋_GB2312" w:eastAsia="仿宋_GB2312"/>
          <w:sz w:val="32"/>
          <w:szCs w:val="32"/>
          <w:highlight w:val="none"/>
          <w:lang w:eastAsia="zh-CN"/>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十、</w:t>
      </w:r>
      <w:r>
        <w:rPr>
          <w:rFonts w:hint="eastAsia" w:eastAsia="仿宋_GB2312"/>
          <w:kern w:val="0"/>
          <w:sz w:val="32"/>
          <w:szCs w:val="32"/>
        </w:rPr>
        <w:t>2020</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w:t>
      </w:r>
      <w:r>
        <w:rPr>
          <w:rFonts w:hint="eastAsia" w:ascii="仿宋_GB2312" w:eastAsia="仿宋_GB2312" w:cs="仿宋_GB2312"/>
          <w:bCs/>
          <w:kern w:val="0"/>
          <w:sz w:val="32"/>
          <w:szCs w:val="32"/>
          <w:lang w:eastAsia="zh-CN"/>
        </w:rPr>
        <w:t>一</w:t>
      </w:r>
      <w:r>
        <w:rPr>
          <w:rFonts w:hint="eastAsia" w:ascii="仿宋_GB2312" w:eastAsia="仿宋_GB2312" w:cs="仿宋_GB2312"/>
          <w:bCs/>
          <w:kern w:val="0"/>
          <w:sz w:val="32"/>
          <w:szCs w:val="32"/>
        </w:rPr>
        <w:t>、其他重要事项的情况说明</w:t>
      </w:r>
    </w:p>
    <w:p>
      <w:pPr>
        <w:ind w:firstLine="645"/>
        <w:rPr>
          <w:rFonts w:hint="eastAsia" w:ascii="仿宋_GB2312" w:eastAsia="仿宋_GB2312"/>
          <w:b/>
          <w:sz w:val="32"/>
          <w:szCs w:val="32"/>
          <w:lang w:eastAsia="zh-CN"/>
        </w:rPr>
      </w:pPr>
      <w:r>
        <w:rPr>
          <w:rFonts w:hint="eastAsia" w:ascii="仿宋_GB2312" w:eastAsia="仿宋_GB2312"/>
          <w:b/>
          <w:sz w:val="32"/>
          <w:szCs w:val="32"/>
        </w:rPr>
        <w:t>第</w:t>
      </w:r>
      <w:r>
        <w:rPr>
          <w:rFonts w:hint="eastAsia" w:ascii="仿宋_GB2312" w:eastAsia="仿宋_GB2312"/>
          <w:b/>
          <w:sz w:val="32"/>
          <w:szCs w:val="32"/>
          <w:lang w:eastAsia="zh-CN"/>
        </w:rPr>
        <w:t>四</w:t>
      </w:r>
      <w:r>
        <w:rPr>
          <w:rFonts w:hint="eastAsia" w:ascii="仿宋_GB2312" w:eastAsia="仿宋_GB2312"/>
          <w:b/>
          <w:sz w:val="32"/>
          <w:szCs w:val="32"/>
        </w:rPr>
        <w:t>部分：</w:t>
      </w:r>
      <w:r>
        <w:rPr>
          <w:rFonts w:hint="eastAsia" w:ascii="仿宋_GB2312" w:eastAsia="仿宋_GB2312"/>
          <w:b/>
          <w:sz w:val="32"/>
          <w:szCs w:val="32"/>
          <w:lang w:eastAsia="zh-CN"/>
        </w:rPr>
        <w:t>名词解释</w:t>
      </w:r>
    </w:p>
    <w:p>
      <w:pPr>
        <w:ind w:firstLine="646"/>
        <w:jc w:val="center"/>
        <w:rPr>
          <w:rFonts w:ascii="仿宋_GB2312" w:eastAsia="仿宋_GB2312"/>
          <w:b/>
          <w:sz w:val="32"/>
          <w:szCs w:val="32"/>
        </w:rPr>
      </w:pPr>
      <w:r>
        <w:rPr>
          <w:rFonts w:hint="eastAsia" w:ascii="仿宋_GB2312" w:eastAsia="仿宋_GB2312" w:cs="仿宋_GB2312"/>
          <w:b w:val="0"/>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rPr>
        <w:t>柳州市残疾人联合会</w:t>
      </w:r>
      <w:r>
        <w:rPr>
          <w:rFonts w:hint="eastAsia" w:ascii="仿宋_GB2312" w:eastAsia="仿宋_GB2312"/>
          <w:b/>
          <w:sz w:val="32"/>
          <w:szCs w:val="32"/>
        </w:rPr>
        <w:t>概况</w:t>
      </w:r>
    </w:p>
    <w:p>
      <w:pPr>
        <w:ind w:firstLine="646"/>
        <w:rPr>
          <w:rFonts w:hint="eastAsia" w:ascii="仿宋_GB2312" w:eastAsia="仿宋_GB2312"/>
          <w:sz w:val="32"/>
          <w:szCs w:val="32"/>
        </w:rPr>
      </w:pPr>
      <w:r>
        <w:rPr>
          <w:rFonts w:hint="eastAsia" w:ascii="仿宋_GB2312" w:eastAsia="仿宋_GB2312"/>
          <w:sz w:val="32"/>
          <w:szCs w:val="32"/>
        </w:rPr>
        <w:t>一、主要职能</w:t>
      </w:r>
    </w:p>
    <w:p>
      <w:pPr>
        <w:spacing w:line="500" w:lineRule="exact"/>
        <w:ind w:firstLine="645"/>
        <w:rPr>
          <w:rFonts w:ascii="仿宋_GB2312" w:eastAsia="仿宋_GB2312"/>
          <w:sz w:val="32"/>
          <w:szCs w:val="32"/>
        </w:rPr>
      </w:pPr>
      <w:r>
        <w:rPr>
          <w:rFonts w:hint="eastAsia" w:ascii="仿宋_GB2312" w:eastAsia="仿宋_GB2312"/>
          <w:sz w:val="32"/>
          <w:szCs w:val="32"/>
        </w:rPr>
        <w:t>(一)宣传贯彻《中华人民共和国残疾人保障法》，维护残疾人权益，听取残疾人意见，反映残疾人需求，全心全意为残疾人服务。</w:t>
      </w:r>
    </w:p>
    <w:p>
      <w:pPr>
        <w:spacing w:line="500" w:lineRule="exact"/>
        <w:ind w:firstLine="645"/>
        <w:rPr>
          <w:rFonts w:ascii="仿宋_GB2312" w:eastAsia="仿宋_GB2312"/>
          <w:sz w:val="32"/>
          <w:szCs w:val="32"/>
        </w:rPr>
      </w:pPr>
      <w:r>
        <w:rPr>
          <w:rFonts w:hint="eastAsia" w:ascii="仿宋_GB2312" w:eastAsia="仿宋_GB2312"/>
          <w:sz w:val="32"/>
          <w:szCs w:val="32"/>
        </w:rPr>
        <w:t>(二)团结、教育残疾人遵守法律，履行应尽的义务，发扬乐观进取精神，自尊、自信、自强、自立，为社会主义建设贡献力量。</w:t>
      </w:r>
    </w:p>
    <w:p>
      <w:pPr>
        <w:spacing w:line="500" w:lineRule="exact"/>
        <w:ind w:firstLine="645"/>
        <w:rPr>
          <w:rFonts w:ascii="仿宋_GB2312" w:eastAsia="仿宋_GB2312"/>
          <w:sz w:val="32"/>
          <w:szCs w:val="32"/>
        </w:rPr>
      </w:pPr>
      <w:r>
        <w:rPr>
          <w:rFonts w:hint="eastAsia" w:ascii="仿宋_GB2312" w:eastAsia="仿宋_GB2312"/>
          <w:sz w:val="32"/>
          <w:szCs w:val="32"/>
        </w:rPr>
        <w:t>(三)沟通政府、社会与残疾人之间的联系，宣传残疾人事业，动员社会理解、尊重、关心、帮助残疾人。</w:t>
      </w:r>
    </w:p>
    <w:p>
      <w:pPr>
        <w:spacing w:line="500" w:lineRule="exact"/>
        <w:ind w:firstLine="645"/>
        <w:rPr>
          <w:rFonts w:ascii="仿宋_GB2312" w:eastAsia="仿宋_GB2312"/>
          <w:sz w:val="32"/>
          <w:szCs w:val="32"/>
        </w:rPr>
      </w:pPr>
      <w:r>
        <w:rPr>
          <w:rFonts w:hint="eastAsia" w:ascii="仿宋_GB2312" w:eastAsia="仿宋_GB2312"/>
          <w:sz w:val="32"/>
          <w:szCs w:val="32"/>
        </w:rPr>
        <w:t>(四)开展和促进残疾人康复、教育、劳动就业、扶贫、维权、文化体育、社会保障和残疾预防等工作，改善残疾人参与社会生活的环境和条件。</w:t>
      </w:r>
    </w:p>
    <w:p>
      <w:pPr>
        <w:spacing w:line="500" w:lineRule="exact"/>
        <w:ind w:firstLine="645"/>
        <w:rPr>
          <w:rFonts w:ascii="仿宋_GB2312" w:eastAsia="仿宋_GB2312"/>
          <w:sz w:val="32"/>
          <w:szCs w:val="32"/>
        </w:rPr>
      </w:pPr>
      <w:r>
        <w:rPr>
          <w:rFonts w:hint="eastAsia" w:ascii="仿宋_GB2312" w:eastAsia="仿宋_GB2312"/>
          <w:sz w:val="32"/>
          <w:szCs w:val="32"/>
        </w:rPr>
        <w:t>(五)参与研究、制订和实施残疾人事业的法律、法规、政策、规划和计划，发挥综合、协调、咨询、服务作用，对有关领域的工作进行管理和指导。</w:t>
      </w:r>
    </w:p>
    <w:p>
      <w:pPr>
        <w:spacing w:line="500" w:lineRule="exact"/>
        <w:ind w:firstLine="645"/>
        <w:rPr>
          <w:rFonts w:ascii="仿宋_GB2312" w:eastAsia="仿宋_GB2312"/>
          <w:sz w:val="32"/>
          <w:szCs w:val="32"/>
        </w:rPr>
      </w:pPr>
      <w:r>
        <w:rPr>
          <w:rFonts w:hint="eastAsia" w:ascii="仿宋_GB2312" w:eastAsia="仿宋_GB2312"/>
          <w:sz w:val="32"/>
          <w:szCs w:val="32"/>
        </w:rPr>
        <w:t>(六)管理和指导各类残疾人群众组织，培养残疾人工作者，使残疾人在残疾人组织中更加活跃，残疾人组织在基层更加活跃，残疾人和残疾人组织在社会上更加活跃。</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(七)承担市人民政府及残疾人工作委员会的日常工作。</w:t>
      </w:r>
    </w:p>
    <w:p>
      <w:pPr>
        <w:ind w:firstLine="646"/>
        <w:rPr>
          <w:rFonts w:hint="eastAsia" w:ascii="仿宋_GB2312" w:eastAsia="仿宋_GB2312"/>
          <w:sz w:val="32"/>
          <w:szCs w:val="32"/>
        </w:rPr>
      </w:pPr>
      <w:r>
        <w:rPr>
          <w:rFonts w:hint="eastAsia" w:ascii="仿宋_GB2312" w:eastAsia="仿宋_GB2312"/>
          <w:sz w:val="32"/>
          <w:szCs w:val="32"/>
        </w:rPr>
        <w:t>二、部门决算单位构成</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柳州市残疾人联合会（本级）为参公事业单位，下属两个单位分别为柳州市残疾人劳动就业服务中心（差额拨款事业单位）和柳州市残疾人康复中心（全额拨款事业单位）。</w:t>
      </w:r>
    </w:p>
    <w:p>
      <w:pPr>
        <w:ind w:firstLine="645"/>
        <w:rPr>
          <w:rFonts w:hint="eastAsia" w:ascii="仿宋_GB2312" w:eastAsia="仿宋_GB2312"/>
          <w:sz w:val="32"/>
          <w:szCs w:val="32"/>
        </w:rPr>
      </w:pPr>
    </w:p>
    <w:p>
      <w:pPr>
        <w:jc w:val="center"/>
        <w:rPr>
          <w:rFonts w:hint="eastAsia" w:ascii="仿宋_GB2312" w:eastAsia="仿宋_GB2312"/>
          <w:b/>
          <w:sz w:val="32"/>
          <w:szCs w:val="32"/>
        </w:rPr>
      </w:pPr>
    </w:p>
    <w:p>
      <w:pPr>
        <w:jc w:val="left"/>
        <w:rPr>
          <w:rFonts w:hint="eastAsia" w:ascii="仿宋_GB2312" w:eastAsia="仿宋_GB2312"/>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柳州市残疾人联合会</w:t>
      </w:r>
      <w:r>
        <w:rPr>
          <w:rFonts w:hint="eastAsia" w:ascii="仿宋_GB2312" w:eastAsia="仿宋_GB2312"/>
          <w:b/>
          <w:sz w:val="32"/>
          <w:szCs w:val="32"/>
          <w:lang w:val="en-US" w:eastAsia="zh-CN"/>
        </w:rPr>
        <w:t>2020</w:t>
      </w:r>
      <w:r>
        <w:rPr>
          <w:rFonts w:hint="eastAsia" w:ascii="仿宋_GB2312" w:eastAsia="仿宋_GB2312"/>
          <w:b/>
          <w:sz w:val="32"/>
          <w:szCs w:val="32"/>
        </w:rPr>
        <w:t>年部门决算报表</w:t>
      </w:r>
    </w:p>
    <w:tbl>
      <w:tblPr>
        <w:tblStyle w:val="4"/>
        <w:tblW w:w="5000" w:type="pct"/>
        <w:tblInd w:w="0" w:type="dxa"/>
        <w:shd w:val="clear" w:color="auto" w:fill="auto"/>
        <w:tblLayout w:type="fixed"/>
        <w:tblCellMar>
          <w:top w:w="0" w:type="dxa"/>
          <w:left w:w="0" w:type="dxa"/>
          <w:bottom w:w="0" w:type="dxa"/>
          <w:right w:w="0" w:type="dxa"/>
        </w:tblCellMar>
      </w:tblPr>
      <w:tblGrid>
        <w:gridCol w:w="2842"/>
        <w:gridCol w:w="780"/>
        <w:gridCol w:w="1116"/>
        <w:gridCol w:w="2182"/>
        <w:gridCol w:w="327"/>
        <w:gridCol w:w="1089"/>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2" w:type="dxa"/>
              <w:left w:w="12" w:type="dxa"/>
              <w:right w:w="12" w:type="dxa"/>
            </w:tcMar>
            <w:vAlign w:val="center"/>
          </w:tcPr>
          <w:p>
            <w:pPr>
              <w:widowControl/>
              <w:jc w:val="center"/>
              <w:rPr>
                <w:rFonts w:ascii="华文中宋" w:hAnsi="华文中宋" w:eastAsia="华文中宋" w:cs="华文中宋"/>
                <w:i w:val="0"/>
                <w:color w:val="000000"/>
                <w:sz w:val="32"/>
                <w:szCs w:val="32"/>
                <w:u w:val="none"/>
              </w:rPr>
            </w:pPr>
            <w:r>
              <w:rPr>
                <w:rFonts w:hint="eastAsia" w:ascii="方正小标宋简体" w:hAnsi="宋体" w:eastAsia="方正小标宋简体" w:cs="宋体"/>
                <w:kern w:val="0"/>
                <w:sz w:val="36"/>
                <w:szCs w:val="36"/>
              </w:rPr>
              <w:t>表一：收入支出决算总表</w:t>
            </w:r>
          </w:p>
        </w:tc>
      </w:tr>
      <w:tr>
        <w:tblPrEx>
          <w:shd w:val="clear" w:color="auto" w:fill="auto"/>
          <w:tblCellMar>
            <w:top w:w="0" w:type="dxa"/>
            <w:left w:w="0" w:type="dxa"/>
            <w:bottom w:w="0" w:type="dxa"/>
            <w:right w:w="0" w:type="dxa"/>
          </w:tblCellMar>
        </w:tblPrEx>
        <w:trPr>
          <w:trHeight w:val="319" w:hRule="atLeast"/>
        </w:trPr>
        <w:tc>
          <w:tcPr>
            <w:tcW w:w="1704"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467"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69"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308"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96"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089"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公开01表</w:t>
            </w:r>
          </w:p>
        </w:tc>
      </w:tr>
      <w:tr>
        <w:tblPrEx>
          <w:shd w:val="clear" w:color="auto" w:fill="auto"/>
          <w:tblCellMar>
            <w:top w:w="0" w:type="dxa"/>
            <w:left w:w="0" w:type="dxa"/>
            <w:bottom w:w="0" w:type="dxa"/>
            <w:right w:w="0" w:type="dxa"/>
          </w:tblCellMar>
        </w:tblPrEx>
        <w:trPr>
          <w:trHeight w:val="319" w:hRule="atLeast"/>
        </w:trPr>
        <w:tc>
          <w:tcPr>
            <w:tcW w:w="1704"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部门：柳州市残疾人联合会（汇总）</w:t>
            </w:r>
          </w:p>
        </w:tc>
        <w:tc>
          <w:tcPr>
            <w:tcW w:w="467"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69"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308"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96"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089"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360" w:hRule="atLeast"/>
        </w:trPr>
        <w:tc>
          <w:tcPr>
            <w:tcW w:w="284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     入</w:t>
            </w:r>
          </w:p>
        </w:tc>
        <w:tc>
          <w:tcPr>
            <w:tcW w:w="2158"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     出</w:t>
            </w:r>
          </w:p>
        </w:tc>
      </w:tr>
      <w:tr>
        <w:tblPrEx>
          <w:shd w:val="clear" w:color="auto" w:fill="auto"/>
          <w:tblCellMar>
            <w:top w:w="0" w:type="dxa"/>
            <w:left w:w="0" w:type="dxa"/>
            <w:bottom w:w="0" w:type="dxa"/>
            <w:right w:w="0" w:type="dxa"/>
          </w:tblCellMar>
        </w:tblPrEx>
        <w:trPr>
          <w:trHeight w:val="446"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行次</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一、一般公共预算财政拨款收入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3677.83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一、一般公共服务支出</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二、政府性基金预算财政拨款收入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68.80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三、上级补助收入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八、社会保障和就业支出</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3670.43 </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四、事业收入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217.77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九、卫生健康支出</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48.51 </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五、经营收入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六、附属单位上缴收入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十九、住房保障支出</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44.38 </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七、其他收入</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10.13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二十三、其他支出</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68.80 </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本年收入合计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3974.52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本年支出合计</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3832.12 </w:t>
            </w: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使用非财政拨款结余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0.00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结余分配</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940.53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1082.93 </w:t>
            </w:r>
          </w:p>
        </w:tc>
      </w:tr>
      <w:tr>
        <w:tblPrEx>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69"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4"/>
                <w:szCs w:val="24"/>
                <w:u w:val="none"/>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170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6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4915.05 </w:t>
            </w:r>
          </w:p>
        </w:tc>
        <w:tc>
          <w:tcPr>
            <w:tcW w:w="13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6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4915.05 </w:t>
            </w:r>
          </w:p>
        </w:tc>
      </w:tr>
      <w:tr>
        <w:tblPrEx>
          <w:tblCellMar>
            <w:top w:w="0" w:type="dxa"/>
            <w:left w:w="0" w:type="dxa"/>
            <w:bottom w:w="0" w:type="dxa"/>
            <w:right w:w="0" w:type="dxa"/>
          </w:tblCellMar>
        </w:tblPrEx>
        <w:trPr>
          <w:trHeight w:val="380" w:hRule="atLeast"/>
        </w:trPr>
        <w:tc>
          <w:tcPr>
            <w:tcW w:w="1704" w:type="pct"/>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注：1.本表依据《收入支出决算总表》（财决01表）进行批复。</w:t>
            </w:r>
          </w:p>
        </w:tc>
        <w:tc>
          <w:tcPr>
            <w:tcW w:w="467"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69"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308"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96"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53"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trPr>
        <w:tc>
          <w:tcPr>
            <w:tcW w:w="1704" w:type="pct"/>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2.本表以“万元”为金额单位（保留两位小数）。</w:t>
            </w:r>
          </w:p>
        </w:tc>
        <w:tc>
          <w:tcPr>
            <w:tcW w:w="467"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69"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308"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96"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53"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 w:hRule="atLeast"/>
        </w:trPr>
        <w:tc>
          <w:tcPr>
            <w:tcW w:w="1704" w:type="pct"/>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3.本套报表金额单位转换时可能存在尾数误差。</w:t>
            </w:r>
          </w:p>
        </w:tc>
        <w:tc>
          <w:tcPr>
            <w:tcW w:w="467"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69"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308"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196"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c>
          <w:tcPr>
            <w:tcW w:w="653" w:type="pct"/>
            <w:tcBorders>
              <w:top w:val="nil"/>
              <w:left w:val="nil"/>
              <w:bottom w:val="nil"/>
              <w:right w:val="nil"/>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4"/>
                <w:szCs w:val="24"/>
                <w:u w:val="none"/>
              </w:rPr>
            </w:pPr>
          </w:p>
        </w:tc>
      </w:tr>
    </w:tbl>
    <w:p>
      <w:pPr>
        <w:jc w:val="center"/>
      </w:pPr>
    </w:p>
    <w:p>
      <w:pPr>
        <w:jc w:val="center"/>
      </w:pPr>
    </w:p>
    <w:p>
      <w:pPr>
        <w:jc w:val="left"/>
        <w:rPr>
          <w:rFonts w:hint="eastAsia" w:ascii="仿宋_GB2312" w:eastAsia="仿宋_GB2312"/>
          <w:b/>
          <w:sz w:val="32"/>
          <w:szCs w:val="32"/>
        </w:rPr>
      </w:pPr>
    </w:p>
    <w:p>
      <w:pPr>
        <w:tabs>
          <w:tab w:val="left" w:pos="3142"/>
        </w:tabs>
        <w:bidi w:val="0"/>
        <w:jc w:val="left"/>
        <w:rPr>
          <w:rFonts w:hint="eastAsia"/>
          <w:lang w:val="en-US" w:eastAsia="zh-CN"/>
        </w:rPr>
        <w:sectPr>
          <w:headerReference r:id="rId3" w:type="default"/>
          <w:footerReference r:id="rId4" w:type="default"/>
          <w:pgSz w:w="11906" w:h="16838"/>
          <w:pgMar w:top="1383"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4"/>
        <w:tblW w:w="4997" w:type="pct"/>
        <w:tblInd w:w="0" w:type="dxa"/>
        <w:shd w:val="clear" w:color="auto" w:fill="auto"/>
        <w:tblLayout w:type="fixed"/>
        <w:tblCellMar>
          <w:top w:w="0" w:type="dxa"/>
          <w:left w:w="0" w:type="dxa"/>
          <w:bottom w:w="0" w:type="dxa"/>
          <w:right w:w="0" w:type="dxa"/>
        </w:tblCellMar>
      </w:tblPr>
      <w:tblGrid>
        <w:gridCol w:w="3222"/>
        <w:gridCol w:w="30"/>
        <w:gridCol w:w="240"/>
        <w:gridCol w:w="3044"/>
        <w:gridCol w:w="1440"/>
        <w:gridCol w:w="1420"/>
        <w:gridCol w:w="1332"/>
        <w:gridCol w:w="879"/>
        <w:gridCol w:w="467"/>
        <w:gridCol w:w="467"/>
        <w:gridCol w:w="1434"/>
      </w:tblGrid>
      <w:tr>
        <w:tblPrEx>
          <w:shd w:val="clear" w:color="auto" w:fill="auto"/>
          <w:tblCellMar>
            <w:top w:w="0" w:type="dxa"/>
            <w:left w:w="0" w:type="dxa"/>
            <w:bottom w:w="0" w:type="dxa"/>
            <w:right w:w="0" w:type="dxa"/>
          </w:tblCellMar>
        </w:tblPrEx>
        <w:trPr>
          <w:trHeight w:val="668" w:hRule="atLeast"/>
        </w:trPr>
        <w:tc>
          <w:tcPr>
            <w:tcW w:w="1152" w:type="pct"/>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588" w:type="pct"/>
            <w:gridSpan w:val="4"/>
            <w:tcBorders>
              <w:top w:val="nil"/>
              <w:left w:val="nil"/>
              <w:bottom w:val="nil"/>
              <w:right w:val="nil"/>
            </w:tcBorders>
            <w:shd w:val="clear" w:color="auto" w:fill="auto"/>
            <w:noWrap/>
            <w:tcMar>
              <w:top w:w="12" w:type="dxa"/>
              <w:left w:w="12" w:type="dxa"/>
              <w:right w:w="12" w:type="dxa"/>
            </w:tcMar>
            <w:vAlign w:val="bottom"/>
          </w:tcPr>
          <w:p>
            <w:pPr>
              <w:jc w:val="center"/>
              <w:rPr>
                <w:rFonts w:hint="eastAsia" w:ascii="宋体" w:hAnsi="宋体" w:eastAsia="宋体" w:cs="宋体"/>
                <w:i w:val="0"/>
                <w:color w:val="000000"/>
                <w:sz w:val="30"/>
                <w:szCs w:val="30"/>
                <w:u w:val="none"/>
              </w:rPr>
            </w:pPr>
            <w:r>
              <w:rPr>
                <w:rFonts w:hint="eastAsia" w:ascii="方正小标宋简体" w:hAnsi="宋体" w:eastAsia="方正小标宋简体" w:cs="宋体"/>
                <w:kern w:val="0"/>
                <w:sz w:val="36"/>
                <w:szCs w:val="36"/>
              </w:rPr>
              <w:t>表二：收入决算表</w:t>
            </w:r>
          </w:p>
        </w:tc>
        <w:tc>
          <w:tcPr>
            <w:tcW w:w="31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1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264" w:hRule="atLeast"/>
        </w:trPr>
        <w:tc>
          <w:tcPr>
            <w:tcW w:w="1152"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89"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1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7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1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13"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shd w:val="clear" w:color="auto" w:fill="auto"/>
          <w:tblCellMar>
            <w:top w:w="0" w:type="dxa"/>
            <w:left w:w="0" w:type="dxa"/>
            <w:bottom w:w="0" w:type="dxa"/>
            <w:right w:w="0" w:type="dxa"/>
          </w:tblCellMar>
        </w:tblPrEx>
        <w:trPr>
          <w:trHeight w:val="264" w:hRule="atLeast"/>
        </w:trPr>
        <w:tc>
          <w:tcPr>
            <w:tcW w:w="1152"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1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89"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1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0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47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1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6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13"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2338"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15"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508"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476"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314"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7"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67"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13" w:type="pct"/>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shd w:val="clear" w:color="auto" w:fill="auto"/>
          <w:tblCellMar>
            <w:top w:w="0" w:type="dxa"/>
            <w:left w:w="0" w:type="dxa"/>
            <w:bottom w:w="0" w:type="dxa"/>
            <w:right w:w="0" w:type="dxa"/>
          </w:tblCellMar>
        </w:tblPrEx>
        <w:trPr>
          <w:trHeight w:val="235" w:hRule="atLeast"/>
        </w:trPr>
        <w:tc>
          <w:tcPr>
            <w:tcW w:w="1249" w:type="pct"/>
            <w:gridSpan w:val="3"/>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089" w:type="pct"/>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15"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1249" w:type="pct"/>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9" w:type="pct"/>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1249" w:type="pct"/>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89" w:type="pct"/>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14"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7"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2338" w:type="pct"/>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15"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08"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6"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4"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7"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7"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13" w:type="pc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35" w:hRule="atLeast"/>
        </w:trPr>
        <w:tc>
          <w:tcPr>
            <w:tcW w:w="2338" w:type="pct"/>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3,974.52</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3,746.63</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217.77</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10.13</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3,810.20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3,582.31</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217.77</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103.45</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60.63</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60.63</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25.42</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25.42</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3,706.76</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3,478.86</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217.77</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284.67</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284.67</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2081104</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残疾人康复</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1,123.06</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905.12</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217.77</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0.17</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2081105</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残疾人就业和扶贫</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181.27</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181.27</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2081106</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残疾人体育</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517.69</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517.69</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1,600.07</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1,590.12</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49.48</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49.48</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49.48</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49.48</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13.74</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13.74</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46.04</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46.04</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46.04</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46.04</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45.65</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2296006</w:t>
            </w:r>
          </w:p>
        </w:tc>
        <w:tc>
          <w:tcPr>
            <w:tcW w:w="108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用于残疾人事业的彩票公益金支出</w:t>
            </w:r>
          </w:p>
        </w:tc>
        <w:tc>
          <w:tcPr>
            <w:tcW w:w="51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50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47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5000" w:type="pct"/>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ind w:left="645"/>
        <w:rPr>
          <w:rFonts w:hint="eastAsia" w:ascii="仿宋_GB2312" w:eastAsia="仿宋_GB2312"/>
          <w:sz w:val="32"/>
          <w:szCs w:val="32"/>
        </w:rPr>
      </w:pPr>
    </w:p>
    <w:p>
      <w:pPr>
        <w:ind w:left="645"/>
        <w:rPr>
          <w:rFonts w:hint="eastAsia" w:ascii="仿宋_GB2312" w:eastAsia="仿宋_GB2312"/>
          <w:sz w:val="32"/>
          <w:szCs w:val="32"/>
        </w:rPr>
      </w:pPr>
    </w:p>
    <w:p>
      <w:pPr>
        <w:ind w:left="645"/>
        <w:rPr>
          <w:rFonts w:hint="eastAsia" w:ascii="仿宋_GB2312" w:eastAsia="仿宋_GB2312"/>
          <w:sz w:val="32"/>
          <w:szCs w:val="32"/>
        </w:rPr>
      </w:pPr>
    </w:p>
    <w:p>
      <w:pPr>
        <w:bidi w:val="0"/>
        <w:rPr>
          <w:rFonts w:hint="eastAsia" w:ascii="仿宋_GB2312" w:eastAsia="仿宋_GB2312"/>
          <w:sz w:val="32"/>
          <w:szCs w:val="32"/>
          <w:lang w:val="en-US" w:eastAsia="zh-CN"/>
        </w:rPr>
      </w:pPr>
    </w:p>
    <w:p>
      <w:pPr>
        <w:bidi w:val="0"/>
        <w:rPr>
          <w:rFonts w:hint="eastAsia" w:ascii="仿宋_GB2312" w:eastAsia="仿宋_GB2312"/>
          <w:sz w:val="32"/>
          <w:szCs w:val="32"/>
          <w:lang w:val="en-US" w:eastAsia="zh-CN"/>
        </w:rPr>
      </w:pPr>
    </w:p>
    <w:tbl>
      <w:tblPr>
        <w:tblStyle w:val="4"/>
        <w:tblW w:w="13982" w:type="dxa"/>
        <w:tblInd w:w="0" w:type="dxa"/>
        <w:shd w:val="clear" w:color="auto" w:fill="auto"/>
        <w:tblLayout w:type="fixed"/>
        <w:tblCellMar>
          <w:top w:w="0" w:type="dxa"/>
          <w:left w:w="0" w:type="dxa"/>
          <w:bottom w:w="0" w:type="dxa"/>
          <w:right w:w="0" w:type="dxa"/>
        </w:tblCellMar>
      </w:tblPr>
      <w:tblGrid>
        <w:gridCol w:w="2995"/>
        <w:gridCol w:w="224"/>
        <w:gridCol w:w="225"/>
        <w:gridCol w:w="3038"/>
        <w:gridCol w:w="1331"/>
        <w:gridCol w:w="1571"/>
        <w:gridCol w:w="851"/>
        <w:gridCol w:w="1211"/>
        <w:gridCol w:w="1211"/>
        <w:gridCol w:w="1325"/>
      </w:tblGrid>
      <w:tr>
        <w:tblPrEx>
          <w:shd w:val="clear" w:color="auto" w:fill="auto"/>
          <w:tblCellMar>
            <w:top w:w="0" w:type="dxa"/>
            <w:left w:w="0" w:type="dxa"/>
            <w:bottom w:w="0" w:type="dxa"/>
            <w:right w:w="0" w:type="dxa"/>
          </w:tblCellMar>
        </w:tblPrEx>
        <w:trPr>
          <w:trHeight w:val="384" w:hRule="atLeast"/>
        </w:trPr>
        <w:tc>
          <w:tcPr>
            <w:tcW w:w="2995"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224"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2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940" w:type="dxa"/>
            <w:gridSpan w:val="3"/>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方正小标宋简体" w:hAnsi="宋体" w:eastAsia="方正小标宋简体" w:cs="宋体"/>
                <w:kern w:val="0"/>
                <w:sz w:val="36"/>
                <w:szCs w:val="36"/>
              </w:rPr>
              <w:t>表三：支出决算表</w:t>
            </w:r>
          </w:p>
        </w:tc>
        <w:tc>
          <w:tcPr>
            <w:tcW w:w="85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1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1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2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264" w:hRule="atLeast"/>
        </w:trPr>
        <w:tc>
          <w:tcPr>
            <w:tcW w:w="299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24"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2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03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57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5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1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1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25"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shd w:val="clear" w:color="auto" w:fill="auto"/>
          <w:tblCellMar>
            <w:top w:w="0" w:type="dxa"/>
            <w:left w:w="0" w:type="dxa"/>
            <w:bottom w:w="0" w:type="dxa"/>
            <w:right w:w="0" w:type="dxa"/>
          </w:tblCellMar>
        </w:tblPrEx>
        <w:trPr>
          <w:trHeight w:val="264" w:hRule="atLeast"/>
        </w:trPr>
        <w:tc>
          <w:tcPr>
            <w:tcW w:w="2995"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224"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25"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03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3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57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5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1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21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25"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648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31"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71"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51"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211"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211"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25"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235" w:hRule="atLeast"/>
        </w:trPr>
        <w:tc>
          <w:tcPr>
            <w:tcW w:w="3444" w:type="dxa"/>
            <w:gridSpan w:val="3"/>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038" w:type="dxa"/>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3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7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5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3444" w:type="dxa"/>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038"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7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5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3444" w:type="dxa"/>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038" w:type="dxa"/>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7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5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1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6482" w:type="dxa"/>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31" w:type="dxa"/>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71" w:type="dxa"/>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51" w:type="dxa"/>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11" w:type="dxa"/>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11" w:type="dxa"/>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5" w:type="dxa"/>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235" w:hRule="atLeast"/>
        </w:trPr>
        <w:tc>
          <w:tcPr>
            <w:tcW w:w="6482" w:type="dxa"/>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3,832.12</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642.23</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3,189.89</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3,670.43</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549.34</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3,121.09</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89.02</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89.02</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48.45</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48.45</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23.28</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23.28</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3,581.41</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460.32</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3,121.09</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284.67</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284.67</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2081104</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残疾人康复</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1,203.49</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78.23</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1,125.25</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2081105</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残疾人就业和扶贫</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180.62</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180.62</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2081106</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残疾人体育</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318.54</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318.54</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1,594.10</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97.42</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1,496.68</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12.77</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12.77</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43.99</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43.99</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3444" w:type="dxa"/>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2296006</w:t>
            </w:r>
          </w:p>
        </w:tc>
        <w:tc>
          <w:tcPr>
            <w:tcW w:w="3038"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用于残疾人事业的彩票公益金支出</w:t>
            </w:r>
          </w:p>
        </w:tc>
        <w:tc>
          <w:tcPr>
            <w:tcW w:w="133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157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25"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13982"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bidi w:val="0"/>
        <w:rPr>
          <w:rFonts w:hint="eastAsia" w:ascii="仿宋_GB2312" w:eastAsia="仿宋_GB2312"/>
          <w:sz w:val="32"/>
          <w:szCs w:val="32"/>
          <w:lang w:val="en-US" w:eastAsia="zh-CN"/>
        </w:rPr>
      </w:pPr>
    </w:p>
    <w:p>
      <w:pPr>
        <w:bidi w:val="0"/>
        <w:rPr>
          <w:rFonts w:hint="eastAsia" w:ascii="仿宋_GB2312" w:eastAsia="仿宋_GB2312"/>
          <w:sz w:val="32"/>
          <w:szCs w:val="32"/>
          <w:lang w:val="en-US" w:eastAsia="zh-CN"/>
        </w:rPr>
      </w:pPr>
    </w:p>
    <w:p>
      <w:pPr>
        <w:bidi w:val="0"/>
        <w:rPr>
          <w:rFonts w:hint="eastAsia" w:ascii="仿宋_GB2312" w:eastAsia="仿宋_GB2312"/>
          <w:sz w:val="32"/>
          <w:szCs w:val="32"/>
          <w:lang w:val="en-US" w:eastAsia="zh-CN"/>
        </w:rPr>
      </w:pPr>
    </w:p>
    <w:p>
      <w:pPr>
        <w:bidi w:val="0"/>
        <w:rPr>
          <w:rFonts w:hint="eastAsia" w:ascii="仿宋_GB2312" w:eastAsia="仿宋_GB2312"/>
          <w:sz w:val="32"/>
          <w:szCs w:val="32"/>
          <w:lang w:val="en-US" w:eastAsia="zh-CN"/>
        </w:rPr>
      </w:pPr>
    </w:p>
    <w:tbl>
      <w:tblPr>
        <w:tblStyle w:val="4"/>
        <w:tblW w:w="13982" w:type="dxa"/>
        <w:tblInd w:w="0" w:type="dxa"/>
        <w:shd w:val="clear" w:color="auto" w:fill="auto"/>
        <w:tblLayout w:type="autofit"/>
        <w:tblCellMar>
          <w:top w:w="0" w:type="dxa"/>
          <w:left w:w="0" w:type="dxa"/>
          <w:bottom w:w="0" w:type="dxa"/>
          <w:right w:w="0" w:type="dxa"/>
        </w:tblCellMar>
      </w:tblPr>
      <w:tblGrid>
        <w:gridCol w:w="3211"/>
        <w:gridCol w:w="448"/>
        <w:gridCol w:w="1316"/>
        <w:gridCol w:w="3311"/>
        <w:gridCol w:w="448"/>
        <w:gridCol w:w="1256"/>
        <w:gridCol w:w="1316"/>
        <w:gridCol w:w="1316"/>
        <w:gridCol w:w="1360"/>
      </w:tblGrid>
      <w:tr>
        <w:tblPrEx>
          <w:shd w:val="clear" w:color="auto" w:fill="auto"/>
          <w:tblCellMar>
            <w:top w:w="0" w:type="dxa"/>
            <w:left w:w="0" w:type="dxa"/>
            <w:bottom w:w="0" w:type="dxa"/>
            <w:right w:w="0" w:type="dxa"/>
          </w:tblCellMar>
        </w:tblPrEx>
        <w:trPr>
          <w:trHeight w:val="384" w:hRule="atLeast"/>
        </w:trPr>
        <w:tc>
          <w:tcPr>
            <w:tcW w:w="3164"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449"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355" w:type="dxa"/>
            <w:gridSpan w:val="4"/>
            <w:tcBorders>
              <w:top w:val="nil"/>
              <w:left w:val="nil"/>
              <w:bottom w:val="nil"/>
              <w:right w:val="nil"/>
            </w:tcBorders>
            <w:shd w:val="clear" w:color="auto" w:fill="auto"/>
            <w:noWrap/>
            <w:tcMar>
              <w:top w:w="12" w:type="dxa"/>
              <w:left w:w="12" w:type="dxa"/>
              <w:right w:w="12" w:type="dxa"/>
            </w:tcMar>
            <w:vAlign w:val="bottom"/>
          </w:tcPr>
          <w:p>
            <w:r>
              <w:rPr>
                <w:rFonts w:hint="eastAsia" w:ascii="方正小标宋简体" w:hAnsi="宋体" w:eastAsia="方正小标宋简体" w:cs="宋体"/>
                <w:kern w:val="0"/>
                <w:sz w:val="36"/>
                <w:szCs w:val="36"/>
              </w:rPr>
              <w:t>表四：财政拨款收入支出决算总表</w:t>
            </w:r>
          </w:p>
          <w:p>
            <w:pPr>
              <w:rPr>
                <w:rFonts w:hint="default" w:ascii="Arial" w:hAnsi="Arial" w:cs="Arial"/>
                <w:i w:val="0"/>
                <w:color w:val="000000"/>
                <w:sz w:val="20"/>
                <w:szCs w:val="20"/>
                <w:u w:val="none"/>
              </w:rPr>
            </w:pPr>
          </w:p>
        </w:tc>
        <w:tc>
          <w:tcPr>
            <w:tcW w:w="132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7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shd w:val="clear" w:color="auto" w:fill="auto"/>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224" w:hRule="atLeast"/>
        </w:trPr>
        <w:tc>
          <w:tcPr>
            <w:tcW w:w="3164" w:type="dxa"/>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49"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21"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264"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49"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21"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20"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373"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shd w:val="clear" w:color="auto" w:fill="auto"/>
          <w:tblCellMar>
            <w:top w:w="0" w:type="dxa"/>
            <w:left w:w="0" w:type="dxa"/>
            <w:bottom w:w="0" w:type="dxa"/>
            <w:right w:w="0" w:type="dxa"/>
          </w:tblCellMar>
        </w:tblPrEx>
        <w:trPr>
          <w:trHeight w:val="471" w:hRule="atLeast"/>
        </w:trPr>
        <w:tc>
          <w:tcPr>
            <w:tcW w:w="3164" w:type="dxa"/>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1"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264"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49"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1"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73"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3,677.83</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3,325.92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3,325.92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3,746.63</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3,487.61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3,418.81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543.54</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543.54</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4,290.17</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4,290.17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4,221.37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r>
    </w:tbl>
    <w:p>
      <w:pPr>
        <w:bidi w:val="0"/>
        <w:rPr>
          <w:rFonts w:hint="eastAsia" w:ascii="仿宋_GB2312" w:eastAsia="仿宋_GB2312"/>
          <w:sz w:val="32"/>
          <w:szCs w:val="32"/>
          <w:lang w:val="en-US" w:eastAsia="zh-CN"/>
        </w:rPr>
      </w:pPr>
    </w:p>
    <w:p>
      <w:pPr>
        <w:bidi w:val="0"/>
        <w:rPr>
          <w:rFonts w:hint="eastAsia" w:ascii="仿宋_GB2312" w:eastAsia="仿宋_GB2312"/>
          <w:sz w:val="32"/>
          <w:szCs w:val="32"/>
          <w:lang w:val="en-US" w:eastAsia="zh-CN"/>
        </w:rPr>
      </w:pPr>
    </w:p>
    <w:p>
      <w:pPr>
        <w:keepNext w:val="0"/>
        <w:keepLines w:val="0"/>
        <w:widowControl/>
        <w:suppressLineNumbers w:val="0"/>
        <w:jc w:val="both"/>
        <w:textAlignment w:val="center"/>
        <w:rPr>
          <w:rFonts w:hint="eastAsia" w:ascii="方正小标宋简体" w:hAnsi="宋体" w:eastAsia="方正小标宋简体" w:cs="宋体"/>
          <w:kern w:val="0"/>
          <w:sz w:val="36"/>
          <w:szCs w:val="36"/>
        </w:rPr>
      </w:pPr>
    </w:p>
    <w:tbl>
      <w:tblPr>
        <w:tblStyle w:val="4"/>
        <w:tblW w:w="12916" w:type="dxa"/>
        <w:tblInd w:w="0" w:type="dxa"/>
        <w:shd w:val="clear" w:color="auto" w:fill="auto"/>
        <w:tblLayout w:type="autofit"/>
        <w:tblCellMar>
          <w:top w:w="0" w:type="dxa"/>
          <w:left w:w="0" w:type="dxa"/>
          <w:bottom w:w="0" w:type="dxa"/>
          <w:right w:w="0" w:type="dxa"/>
        </w:tblCellMar>
      </w:tblPr>
      <w:tblGrid>
        <w:gridCol w:w="3224"/>
        <w:gridCol w:w="37"/>
        <w:gridCol w:w="37"/>
        <w:gridCol w:w="4623"/>
        <w:gridCol w:w="1666"/>
        <w:gridCol w:w="1529"/>
        <w:gridCol w:w="1800"/>
      </w:tblGrid>
      <w:tr>
        <w:tblPrEx>
          <w:shd w:val="clear" w:color="auto" w:fill="auto"/>
          <w:tblCellMar>
            <w:top w:w="0" w:type="dxa"/>
            <w:left w:w="0" w:type="dxa"/>
            <w:bottom w:w="0" w:type="dxa"/>
            <w:right w:w="0" w:type="dxa"/>
          </w:tblCellMar>
        </w:tblPrEx>
        <w:trPr>
          <w:trHeight w:val="384" w:hRule="atLeast"/>
        </w:trPr>
        <w:tc>
          <w:tcPr>
            <w:tcW w:w="3224"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7892" w:type="dxa"/>
            <w:gridSpan w:val="5"/>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tc>
        <w:tc>
          <w:tcPr>
            <w:tcW w:w="180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shd w:val="clear" w:color="auto" w:fill="auto"/>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00" w:type="dxa"/>
            <w:gridSpan w:val="3"/>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235" w:hRule="atLeast"/>
        </w:trPr>
        <w:tc>
          <w:tcPr>
            <w:tcW w:w="3752" w:type="dxa"/>
            <w:gridSpan w:val="3"/>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00"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12" w:hRule="atLeast"/>
        </w:trPr>
        <w:tc>
          <w:tcPr>
            <w:tcW w:w="3752" w:type="dxa"/>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3752" w:type="dxa"/>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3,418.81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642.23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2,776.58</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3,325.92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2,776.58</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3,236.90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2,776.58</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残疾人康复</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861.02</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残疾人就业和扶贫</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180.62</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残疾人体育</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318.54</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1,513.82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1,416.40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rPr>
          <w:rFonts w:hint="eastAsia" w:ascii="仿宋_GB2312" w:eastAsia="仿宋_GB2312"/>
          <w:sz w:val="32"/>
          <w:szCs w:val="32"/>
        </w:rPr>
        <w:sectPr>
          <w:type w:val="continuous"/>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tbl>
      <w:tblPr>
        <w:tblStyle w:val="4"/>
        <w:tblW w:w="5000" w:type="pct"/>
        <w:tblInd w:w="0" w:type="dxa"/>
        <w:shd w:val="clear" w:color="auto" w:fill="auto"/>
        <w:tblLayout w:type="fixed"/>
        <w:tblCellMar>
          <w:top w:w="0" w:type="dxa"/>
          <w:left w:w="0" w:type="dxa"/>
          <w:bottom w:w="0" w:type="dxa"/>
          <w:right w:w="0" w:type="dxa"/>
        </w:tblCellMar>
      </w:tblPr>
      <w:tblGrid>
        <w:gridCol w:w="2232"/>
        <w:gridCol w:w="2480"/>
        <w:gridCol w:w="1104"/>
        <w:gridCol w:w="730"/>
        <w:gridCol w:w="1734"/>
        <w:gridCol w:w="612"/>
        <w:gridCol w:w="796"/>
        <w:gridCol w:w="3211"/>
        <w:gridCol w:w="1083"/>
      </w:tblGrid>
      <w:tr>
        <w:tblPrEx>
          <w:shd w:val="clear" w:color="auto" w:fill="auto"/>
          <w:tblCellMar>
            <w:top w:w="0" w:type="dxa"/>
            <w:left w:w="0" w:type="dxa"/>
            <w:bottom w:w="0" w:type="dxa"/>
            <w:right w:w="0" w:type="dxa"/>
          </w:tblCellMar>
        </w:tblPrEx>
        <w:trPr>
          <w:trHeight w:val="384" w:hRule="atLeast"/>
        </w:trPr>
        <w:tc>
          <w:tcPr>
            <w:tcW w:w="798" w:type="pct"/>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3814" w:type="pct"/>
            <w:gridSpan w:val="7"/>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tc>
        <w:tc>
          <w:tcPr>
            <w:tcW w:w="387"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264" w:hRule="atLeast"/>
        </w:trPr>
        <w:tc>
          <w:tcPr>
            <w:tcW w:w="79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88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9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6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2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1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8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4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87"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264" w:hRule="atLeast"/>
        </w:trPr>
        <w:tc>
          <w:tcPr>
            <w:tcW w:w="798"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886"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9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6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20"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1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8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48"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87"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2079"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920" w:type="pct"/>
            <w:gridSpan w:val="6"/>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shd w:val="clear" w:color="auto" w:fill="auto"/>
          <w:tblCellMar>
            <w:top w:w="0" w:type="dxa"/>
            <w:left w:w="0" w:type="dxa"/>
            <w:bottom w:w="0" w:type="dxa"/>
            <w:right w:w="0" w:type="dxa"/>
          </w:tblCellMar>
        </w:tblPrEx>
        <w:trPr>
          <w:trHeight w:val="235" w:hRule="atLeast"/>
        </w:trPr>
        <w:tc>
          <w:tcPr>
            <w:tcW w:w="798" w:type="pct"/>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886"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4"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61"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620"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8"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84"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48"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87"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shd w:val="clear" w:color="auto" w:fill="auto"/>
          <w:tblCellMar>
            <w:top w:w="0" w:type="dxa"/>
            <w:left w:w="0" w:type="dxa"/>
            <w:bottom w:w="0" w:type="dxa"/>
            <w:right w:w="0" w:type="dxa"/>
          </w:tblCellMar>
        </w:tblPrEx>
        <w:trPr>
          <w:trHeight w:val="235" w:hRule="atLeast"/>
        </w:trPr>
        <w:tc>
          <w:tcPr>
            <w:tcW w:w="798" w:type="pct"/>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886"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94"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61"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20"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18"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84"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48"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87"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573.32</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44.35</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86.26</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125.47</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0.54</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48.45</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0.92</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26.76</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0.78</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24.06</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20.91</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43.99</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0.02</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24.57</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17.13</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0.75</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0.08</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0.42</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w:t>
            </w: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798" w:type="pct"/>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886"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620"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21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w:t>
            </w:r>
          </w:p>
        </w:tc>
        <w:tc>
          <w:tcPr>
            <w:tcW w:w="284"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14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1685" w:type="pct"/>
            <w:gridSpan w:val="2"/>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39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597.88</w:t>
            </w:r>
          </w:p>
        </w:tc>
        <w:tc>
          <w:tcPr>
            <w:tcW w:w="2532" w:type="pct"/>
            <w:gridSpan w:val="5"/>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38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44.35</w:t>
            </w:r>
          </w:p>
        </w:tc>
      </w:tr>
      <w:tr>
        <w:tblPrEx>
          <w:tblCellMar>
            <w:top w:w="0" w:type="dxa"/>
            <w:left w:w="0" w:type="dxa"/>
            <w:bottom w:w="0" w:type="dxa"/>
            <w:right w:w="0" w:type="dxa"/>
          </w:tblCellMar>
        </w:tblPrEx>
        <w:trPr>
          <w:trHeight w:val="235" w:hRule="atLeast"/>
        </w:trPr>
        <w:tc>
          <w:tcPr>
            <w:tcW w:w="5000" w:type="pct"/>
            <w:gridSpan w:val="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rPr>
          <w:rFonts w:hint="eastAsia" w:ascii="仿宋_GB2312" w:eastAsia="仿宋_GB2312"/>
          <w:sz w:val="32"/>
          <w:szCs w:val="32"/>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p>
    <w:p>
      <w:pPr>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w:t>
      </w:r>
      <w:r>
        <w:rPr>
          <w:rFonts w:ascii="方正小标宋简体" w:hAnsi="宋体" w:eastAsia="方正小标宋简体" w:cs="宋体"/>
          <w:kern w:val="0"/>
          <w:sz w:val="36"/>
          <w:szCs w:val="36"/>
        </w:rPr>
        <w:t>三公</w:t>
      </w:r>
      <w:r>
        <w:rPr>
          <w:rFonts w:hint="eastAsia" w:ascii="方正小标宋简体" w:hAnsi="宋体" w:eastAsia="方正小标宋简体" w:cs="宋体"/>
          <w:kern w:val="0"/>
          <w:sz w:val="36"/>
          <w:szCs w:val="36"/>
        </w:rPr>
        <w:t>”</w:t>
      </w:r>
      <w:r>
        <w:rPr>
          <w:rFonts w:ascii="方正小标宋简体" w:hAnsi="宋体" w:eastAsia="方正小标宋简体" w:cs="宋体"/>
          <w:kern w:val="0"/>
          <w:sz w:val="36"/>
          <w:szCs w:val="36"/>
        </w:rPr>
        <w:t>经费</w:t>
      </w:r>
      <w:r>
        <w:rPr>
          <w:rFonts w:hint="eastAsia" w:ascii="方正小标宋简体" w:hAnsi="宋体" w:eastAsia="方正小标宋简体" w:cs="宋体"/>
          <w:kern w:val="0"/>
          <w:sz w:val="36"/>
          <w:szCs w:val="36"/>
        </w:rPr>
        <w:t>支出决算表</w:t>
      </w:r>
    </w:p>
    <w:p>
      <w:pPr>
        <w:rPr>
          <w:rFonts w:hint="eastAsia"/>
        </w:rPr>
      </w:pPr>
    </w:p>
    <w:p>
      <w:pPr>
        <w:jc w:val="right"/>
        <w:rPr>
          <w:rFonts w:hint="eastAsia"/>
        </w:rPr>
      </w:pPr>
      <w:r>
        <w:rPr>
          <w:rFonts w:hint="eastAsia"/>
        </w:rPr>
        <w:t>单位：万元</w:t>
      </w:r>
    </w:p>
    <w:tbl>
      <w:tblPr>
        <w:tblStyle w:val="4"/>
        <w:tblW w:w="13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0"/>
        <w:gridCol w:w="1160"/>
        <w:gridCol w:w="1160"/>
        <w:gridCol w:w="1160"/>
        <w:gridCol w:w="1160"/>
        <w:gridCol w:w="1160"/>
        <w:gridCol w:w="1160"/>
        <w:gridCol w:w="1160"/>
        <w:gridCol w:w="1160"/>
        <w:gridCol w:w="116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6960" w:type="dxa"/>
            <w:gridSpan w:val="6"/>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预算数</w:t>
            </w:r>
          </w:p>
        </w:tc>
        <w:tc>
          <w:tcPr>
            <w:tcW w:w="6961" w:type="dxa"/>
            <w:gridSpan w:val="6"/>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60" w:type="dxa"/>
            <w:vMerge w:val="restart"/>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合计</w:t>
            </w:r>
          </w:p>
        </w:tc>
        <w:tc>
          <w:tcPr>
            <w:tcW w:w="1160" w:type="dxa"/>
            <w:vMerge w:val="restart"/>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因公出国（境）费</w:t>
            </w:r>
          </w:p>
        </w:tc>
        <w:tc>
          <w:tcPr>
            <w:tcW w:w="3480" w:type="dxa"/>
            <w:gridSpan w:val="3"/>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公务用车购置及运行费</w:t>
            </w:r>
          </w:p>
        </w:tc>
        <w:tc>
          <w:tcPr>
            <w:tcW w:w="1160" w:type="dxa"/>
            <w:vMerge w:val="restart"/>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公务接待费</w:t>
            </w:r>
          </w:p>
        </w:tc>
        <w:tc>
          <w:tcPr>
            <w:tcW w:w="1160" w:type="dxa"/>
            <w:vMerge w:val="restart"/>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合计</w:t>
            </w:r>
          </w:p>
        </w:tc>
        <w:tc>
          <w:tcPr>
            <w:tcW w:w="1160" w:type="dxa"/>
            <w:vMerge w:val="restart"/>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因公出国（境）费</w:t>
            </w:r>
          </w:p>
        </w:tc>
        <w:tc>
          <w:tcPr>
            <w:tcW w:w="3480" w:type="dxa"/>
            <w:gridSpan w:val="3"/>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公务用车购置及运行费</w:t>
            </w:r>
          </w:p>
        </w:tc>
        <w:tc>
          <w:tcPr>
            <w:tcW w:w="1161" w:type="dxa"/>
            <w:vMerge w:val="restart"/>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1160" w:type="dxa"/>
            <w:vMerge w:val="continue"/>
            <w:tcBorders>
              <w:tl2br w:val="nil"/>
              <w:tr2bl w:val="nil"/>
            </w:tcBorders>
            <w:vAlign w:val="center"/>
          </w:tcPr>
          <w:p>
            <w:pPr>
              <w:jc w:val="center"/>
              <w:rPr>
                <w:rFonts w:ascii="宋体" w:hAnsi="宋体" w:cs="Arial"/>
                <w:color w:val="000000"/>
                <w:kern w:val="0"/>
                <w:sz w:val="22"/>
                <w:szCs w:val="22"/>
              </w:rPr>
            </w:pPr>
          </w:p>
        </w:tc>
        <w:tc>
          <w:tcPr>
            <w:tcW w:w="1160" w:type="dxa"/>
            <w:vMerge w:val="continue"/>
            <w:tcBorders>
              <w:tl2br w:val="nil"/>
              <w:tr2bl w:val="nil"/>
            </w:tcBorders>
            <w:vAlign w:val="center"/>
          </w:tcPr>
          <w:p>
            <w:pPr>
              <w:jc w:val="center"/>
              <w:rPr>
                <w:rFonts w:ascii="宋体" w:hAnsi="宋体" w:cs="Arial"/>
                <w:color w:val="000000"/>
                <w:kern w:val="0"/>
                <w:sz w:val="22"/>
                <w:szCs w:val="22"/>
              </w:rPr>
            </w:pP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小计</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公务用车购置费</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公务用车运行费</w:t>
            </w:r>
          </w:p>
        </w:tc>
        <w:tc>
          <w:tcPr>
            <w:tcW w:w="1160" w:type="dxa"/>
            <w:vMerge w:val="continue"/>
            <w:tcBorders>
              <w:tl2br w:val="nil"/>
              <w:tr2bl w:val="nil"/>
            </w:tcBorders>
            <w:vAlign w:val="center"/>
          </w:tcPr>
          <w:p>
            <w:pPr>
              <w:jc w:val="center"/>
              <w:rPr>
                <w:rFonts w:ascii="宋体" w:hAnsi="宋体" w:cs="Arial"/>
                <w:color w:val="000000"/>
                <w:kern w:val="0"/>
                <w:sz w:val="22"/>
                <w:szCs w:val="22"/>
              </w:rPr>
            </w:pPr>
          </w:p>
        </w:tc>
        <w:tc>
          <w:tcPr>
            <w:tcW w:w="1160" w:type="dxa"/>
            <w:vMerge w:val="continue"/>
            <w:tcBorders>
              <w:tl2br w:val="nil"/>
              <w:tr2bl w:val="nil"/>
            </w:tcBorders>
            <w:vAlign w:val="center"/>
          </w:tcPr>
          <w:p>
            <w:pPr>
              <w:jc w:val="center"/>
              <w:rPr>
                <w:rFonts w:ascii="宋体" w:hAnsi="宋体" w:cs="Arial"/>
                <w:color w:val="000000"/>
                <w:kern w:val="0"/>
                <w:sz w:val="22"/>
                <w:szCs w:val="22"/>
              </w:rPr>
            </w:pPr>
          </w:p>
        </w:tc>
        <w:tc>
          <w:tcPr>
            <w:tcW w:w="1160" w:type="dxa"/>
            <w:vMerge w:val="continue"/>
            <w:tcBorders>
              <w:tl2br w:val="nil"/>
              <w:tr2bl w:val="nil"/>
            </w:tcBorders>
            <w:vAlign w:val="center"/>
          </w:tcPr>
          <w:p>
            <w:pPr>
              <w:jc w:val="center"/>
              <w:rPr>
                <w:rFonts w:ascii="宋体" w:hAnsi="宋体" w:cs="Arial"/>
                <w:color w:val="000000"/>
                <w:kern w:val="0"/>
                <w:sz w:val="22"/>
                <w:szCs w:val="22"/>
              </w:rPr>
            </w:pP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小计</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公务用车购置费</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公务用车运行费</w:t>
            </w:r>
          </w:p>
        </w:tc>
        <w:tc>
          <w:tcPr>
            <w:tcW w:w="1161" w:type="dxa"/>
            <w:vMerge w:val="continue"/>
            <w:tcBorders>
              <w:tl2br w:val="nil"/>
              <w:tr2bl w:val="nil"/>
            </w:tcBorders>
            <w:vAlign w:val="center"/>
          </w:tcPr>
          <w:p>
            <w:pPr>
              <w:jc w:val="center"/>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w:t>
            </w:r>
          </w:p>
        </w:tc>
        <w:tc>
          <w:tcPr>
            <w:tcW w:w="1160"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w:t>
            </w:r>
          </w:p>
        </w:tc>
        <w:tc>
          <w:tcPr>
            <w:tcW w:w="1161" w:type="dxa"/>
            <w:tcBorders>
              <w:tl2br w:val="nil"/>
              <w:tr2bl w:val="nil"/>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160" w:type="dxa"/>
            <w:tcBorders>
              <w:tl2br w:val="nil"/>
              <w:tr2bl w:val="nil"/>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2.77</w:t>
            </w:r>
          </w:p>
        </w:tc>
        <w:tc>
          <w:tcPr>
            <w:tcW w:w="1160" w:type="dxa"/>
            <w:tcBorders>
              <w:tl2br w:val="nil"/>
              <w:tr2bl w:val="nil"/>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160" w:type="dxa"/>
            <w:tcBorders>
              <w:tl2br w:val="nil"/>
              <w:tr2bl w:val="nil"/>
            </w:tcBorders>
            <w:vAlign w:val="center"/>
          </w:tcPr>
          <w:p>
            <w:pPr>
              <w:keepNext w:val="0"/>
              <w:keepLines w:val="0"/>
              <w:widowControl/>
              <w:suppressLineNumbers w:val="0"/>
              <w:jc w:val="right"/>
              <w:textAlignment w:val="center"/>
              <w:rPr>
                <w:rFonts w:hint="eastAsia"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2.00</w:t>
            </w:r>
          </w:p>
        </w:tc>
        <w:tc>
          <w:tcPr>
            <w:tcW w:w="1160" w:type="dxa"/>
            <w:tcBorders>
              <w:tl2br w:val="nil"/>
              <w:tr2bl w:val="nil"/>
            </w:tcBorders>
            <w:vAlign w:val="center"/>
          </w:tcPr>
          <w:p>
            <w:pPr>
              <w:keepNext w:val="0"/>
              <w:keepLines w:val="0"/>
              <w:widowControl/>
              <w:suppressLineNumbers w:val="0"/>
              <w:jc w:val="right"/>
              <w:textAlignment w:val="center"/>
              <w:rPr>
                <w:rFonts w:hint="eastAsia"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0.00</w:t>
            </w:r>
          </w:p>
        </w:tc>
        <w:tc>
          <w:tcPr>
            <w:tcW w:w="1160" w:type="dxa"/>
            <w:tcBorders>
              <w:tl2br w:val="nil"/>
              <w:tr2bl w:val="nil"/>
            </w:tcBorders>
            <w:vAlign w:val="center"/>
          </w:tcPr>
          <w:p>
            <w:pPr>
              <w:keepNext w:val="0"/>
              <w:keepLines w:val="0"/>
              <w:widowControl/>
              <w:suppressLineNumbers w:val="0"/>
              <w:jc w:val="right"/>
              <w:textAlignment w:val="center"/>
              <w:rPr>
                <w:rFonts w:hint="eastAsia"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2.00</w:t>
            </w:r>
          </w:p>
        </w:tc>
        <w:tc>
          <w:tcPr>
            <w:tcW w:w="1160" w:type="dxa"/>
            <w:tcBorders>
              <w:tl2br w:val="nil"/>
              <w:tr2bl w:val="nil"/>
            </w:tcBorders>
            <w:vAlign w:val="center"/>
          </w:tcPr>
          <w:p>
            <w:pPr>
              <w:keepNext w:val="0"/>
              <w:keepLines w:val="0"/>
              <w:widowControl/>
              <w:suppressLineNumbers w:val="0"/>
              <w:jc w:val="right"/>
              <w:textAlignment w:val="center"/>
              <w:rPr>
                <w:rFonts w:hint="default"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0.77</w:t>
            </w:r>
          </w:p>
        </w:tc>
        <w:tc>
          <w:tcPr>
            <w:tcW w:w="1160" w:type="dxa"/>
            <w:tcBorders>
              <w:tl2br w:val="nil"/>
              <w:tr2bl w:val="nil"/>
            </w:tcBorders>
            <w:vAlign w:val="center"/>
          </w:tcPr>
          <w:p>
            <w:pPr>
              <w:keepNext w:val="0"/>
              <w:keepLines w:val="0"/>
              <w:widowControl/>
              <w:suppressLineNumbers w:val="0"/>
              <w:jc w:val="right"/>
              <w:textAlignment w:val="center"/>
              <w:rPr>
                <w:rFonts w:hint="default"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2.73</w:t>
            </w:r>
          </w:p>
        </w:tc>
        <w:tc>
          <w:tcPr>
            <w:tcW w:w="1160" w:type="dxa"/>
            <w:tcBorders>
              <w:tl2br w:val="nil"/>
              <w:tr2bl w:val="nil"/>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160" w:type="dxa"/>
            <w:tcBorders>
              <w:tl2br w:val="nil"/>
              <w:tr2bl w:val="nil"/>
            </w:tcBorders>
            <w:vAlign w:val="center"/>
          </w:tcPr>
          <w:p>
            <w:pPr>
              <w:keepNext w:val="0"/>
              <w:keepLines w:val="0"/>
              <w:widowControl/>
              <w:suppressLineNumbers w:val="0"/>
              <w:jc w:val="right"/>
              <w:textAlignment w:val="center"/>
              <w:rPr>
                <w:rFonts w:hint="default"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2.00</w:t>
            </w:r>
          </w:p>
        </w:tc>
        <w:tc>
          <w:tcPr>
            <w:tcW w:w="1160" w:type="dxa"/>
            <w:tcBorders>
              <w:tl2br w:val="nil"/>
              <w:tr2bl w:val="nil"/>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160" w:type="dxa"/>
            <w:tcBorders>
              <w:tl2br w:val="nil"/>
              <w:tr2bl w:val="nil"/>
            </w:tcBorders>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2.00</w:t>
            </w:r>
          </w:p>
        </w:tc>
        <w:tc>
          <w:tcPr>
            <w:tcW w:w="1161" w:type="dxa"/>
            <w:tcBorders>
              <w:tl2br w:val="nil"/>
              <w:tr2bl w:val="nil"/>
            </w:tcBorders>
            <w:vAlign w:val="center"/>
          </w:tcPr>
          <w:p>
            <w:pPr>
              <w:keepNext w:val="0"/>
              <w:keepLines w:val="0"/>
              <w:widowControl/>
              <w:suppressLineNumbers w:val="0"/>
              <w:jc w:val="right"/>
              <w:textAlignment w:val="center"/>
              <w:rPr>
                <w:rFonts w:hint="default" w:ascii="Arial" w:hAnsi="Arial" w:eastAsia="宋体" w:cs="Arial"/>
                <w:color w:val="000000"/>
                <w:kern w:val="0"/>
                <w:sz w:val="20"/>
                <w:szCs w:val="20"/>
                <w:lang w:val="en-US" w:eastAsia="zh-CN"/>
              </w:rPr>
            </w:pPr>
            <w:r>
              <w:rPr>
                <w:rFonts w:hint="eastAsia" w:ascii="宋体" w:hAnsi="宋体" w:eastAsia="宋体" w:cs="宋体"/>
                <w:i w:val="0"/>
                <w:color w:val="000000"/>
                <w:kern w:val="0"/>
                <w:sz w:val="22"/>
                <w:szCs w:val="22"/>
                <w:u w:val="none"/>
                <w:lang w:val="en-US" w:eastAsia="zh-CN" w:bidi="ar"/>
              </w:rPr>
              <w:t>0.73</w:t>
            </w:r>
          </w:p>
        </w:tc>
      </w:tr>
    </w:tbl>
    <w:p>
      <w:pPr>
        <w:sectPr>
          <w:type w:val="continuous"/>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lang w:eastAsia="zh-CN"/>
        </w:rPr>
        <w:t>注：本表反映部门本年度“三公”经费支出预决算情况。其中，</w:t>
      </w:r>
      <w:r>
        <w:rPr>
          <w:rFonts w:hint="eastAsia"/>
          <w:lang w:val="en-US" w:eastAsia="zh-CN"/>
        </w:rPr>
        <w:t>2019年度预算数为“三公”经费年初预算数，决算数是包括当年一般公共预算财政拨款和以前年度结转资金安排的实际支出。</w:t>
      </w:r>
    </w:p>
    <w:tbl>
      <w:tblPr>
        <w:tblStyle w:val="4"/>
        <w:tblW w:w="13982" w:type="dxa"/>
        <w:tblInd w:w="0" w:type="dxa"/>
        <w:shd w:val="clear" w:color="auto" w:fill="auto"/>
        <w:tblLayout w:type="autofit"/>
        <w:tblCellMar>
          <w:top w:w="0" w:type="dxa"/>
          <w:left w:w="0" w:type="dxa"/>
          <w:bottom w:w="0" w:type="dxa"/>
          <w:right w:w="0" w:type="dxa"/>
        </w:tblCellMar>
      </w:tblPr>
      <w:tblGrid>
        <w:gridCol w:w="3191"/>
        <w:gridCol w:w="232"/>
        <w:gridCol w:w="232"/>
        <w:gridCol w:w="3507"/>
        <w:gridCol w:w="963"/>
        <w:gridCol w:w="1158"/>
        <w:gridCol w:w="1158"/>
        <w:gridCol w:w="963"/>
        <w:gridCol w:w="1169"/>
        <w:gridCol w:w="1409"/>
      </w:tblGrid>
      <w:tr>
        <w:tblPrEx>
          <w:shd w:val="clear" w:color="auto" w:fill="auto"/>
          <w:tblCellMar>
            <w:top w:w="0" w:type="dxa"/>
            <w:left w:w="0" w:type="dxa"/>
            <w:bottom w:w="0" w:type="dxa"/>
            <w:right w:w="0" w:type="dxa"/>
          </w:tblCellMar>
        </w:tblPrEx>
        <w:trPr>
          <w:trHeight w:val="384" w:hRule="atLeast"/>
        </w:trPr>
        <w:tc>
          <w:tcPr>
            <w:tcW w:w="3125"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234"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34" w:type="dxa"/>
            <w:tcBorders>
              <w:top w:val="nil"/>
              <w:left w:val="nil"/>
              <w:bottom w:val="nil"/>
              <w:right w:val="nil"/>
            </w:tcBorders>
            <w:shd w:val="clear" w:color="auto" w:fill="auto"/>
            <w:noWrap/>
            <w:tcMar>
              <w:top w:w="12" w:type="dxa"/>
              <w:left w:w="12" w:type="dxa"/>
              <w:right w:w="12" w:type="dxa"/>
            </w:tcMar>
            <w:vAlign w:val="bottom"/>
          </w:tcPr>
          <w:p>
            <w:pPr>
              <w:rPr>
                <w:rFonts w:hint="default" w:ascii="方正小标宋简体" w:hAnsi="宋体" w:eastAsia="方正小标宋简体" w:cs="宋体"/>
                <w:kern w:val="0"/>
                <w:sz w:val="36"/>
                <w:szCs w:val="36"/>
                <w:lang w:val="en-US" w:eastAsia="zh-CN" w:bidi="ar-SA"/>
              </w:rPr>
            </w:pPr>
          </w:p>
        </w:tc>
        <w:tc>
          <w:tcPr>
            <w:tcW w:w="7827" w:type="dxa"/>
            <w:gridSpan w:val="5"/>
            <w:tcBorders>
              <w:top w:val="nil"/>
              <w:left w:val="nil"/>
              <w:bottom w:val="nil"/>
              <w:right w:val="nil"/>
            </w:tcBorders>
            <w:shd w:val="clear" w:color="auto" w:fill="auto"/>
            <w:noWrap/>
            <w:tcMar>
              <w:top w:w="12" w:type="dxa"/>
              <w:left w:w="12" w:type="dxa"/>
              <w:right w:w="12" w:type="dxa"/>
            </w:tcMar>
            <w:vAlign w:val="bottom"/>
          </w:tcPr>
          <w:p>
            <w:pPr>
              <w:rPr>
                <w:rFonts w:hint="default" w:ascii="方正小标宋简体" w:hAnsi="宋体" w:eastAsia="方正小标宋简体" w:cs="宋体"/>
                <w:kern w:val="0"/>
                <w:sz w:val="36"/>
                <w:szCs w:val="36"/>
                <w:lang w:val="en-US" w:eastAsia="zh-CN" w:bidi="ar-SA"/>
              </w:rPr>
            </w:pPr>
            <w:r>
              <w:rPr>
                <w:rFonts w:hint="eastAsia" w:ascii="方正小标宋简体" w:hAnsi="宋体" w:eastAsia="方正小标宋简体" w:cs="宋体"/>
                <w:kern w:val="0"/>
                <w:sz w:val="36"/>
                <w:szCs w:val="36"/>
                <w:lang w:val="en-US" w:eastAsia="zh-CN" w:bidi="ar-SA"/>
              </w:rPr>
              <w:t>表八：政府性基金预算财政拨款收入支出决算表</w:t>
            </w:r>
          </w:p>
        </w:tc>
        <w:tc>
          <w:tcPr>
            <w:tcW w:w="118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8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26"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70"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377" w:type="dxa"/>
            <w:gridSpan w:val="3"/>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381" w:type="dxa"/>
            <w:vMerge w:val="restart"/>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CellMar>
            <w:top w:w="0" w:type="dxa"/>
            <w:left w:w="0" w:type="dxa"/>
            <w:bottom w:w="0" w:type="dxa"/>
            <w:right w:w="0" w:type="dxa"/>
          </w:tblCellMar>
        </w:tblPrEx>
        <w:trPr>
          <w:trHeight w:val="235" w:hRule="atLeast"/>
        </w:trPr>
        <w:tc>
          <w:tcPr>
            <w:tcW w:w="3593" w:type="dxa"/>
            <w:gridSpan w:val="3"/>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26"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70"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26"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81" w:type="dxa"/>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8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3593" w:type="dxa"/>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26"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26"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3593" w:type="dxa"/>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26"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26"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81" w:type="dxa"/>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1" w:type="dxa"/>
            <w:vMerge w:val="continue"/>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trHeight w:val="235"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用于残疾人事业的彩票公益金支出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35" w:hRule="atLeast"/>
        </w:trPr>
        <w:tc>
          <w:tcPr>
            <w:tcW w:w="0" w:type="auto"/>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tbl>
      <w:tblPr>
        <w:tblStyle w:val="4"/>
        <w:tblW w:w="5000" w:type="pct"/>
        <w:tblInd w:w="0" w:type="dxa"/>
        <w:shd w:val="clear" w:color="auto" w:fill="auto"/>
        <w:tblLayout w:type="autofit"/>
        <w:tblCellMar>
          <w:top w:w="0" w:type="dxa"/>
          <w:left w:w="0" w:type="dxa"/>
          <w:bottom w:w="0" w:type="dxa"/>
          <w:right w:w="0" w:type="dxa"/>
        </w:tblCellMar>
      </w:tblPr>
      <w:tblGrid>
        <w:gridCol w:w="4567"/>
        <w:gridCol w:w="1577"/>
        <w:gridCol w:w="598"/>
        <w:gridCol w:w="1633"/>
        <w:gridCol w:w="926"/>
        <w:gridCol w:w="1804"/>
        <w:gridCol w:w="2877"/>
      </w:tblGrid>
      <w:tr>
        <w:tblPrEx>
          <w:shd w:val="clear" w:color="auto" w:fill="auto"/>
          <w:tblCellMar>
            <w:top w:w="0" w:type="dxa"/>
            <w:left w:w="0" w:type="dxa"/>
            <w:bottom w:w="0" w:type="dxa"/>
            <w:right w:w="0" w:type="dxa"/>
          </w:tblCellMar>
        </w:tblPrEx>
        <w:trPr>
          <w:trHeight w:val="384" w:hRule="atLeast"/>
        </w:trPr>
        <w:tc>
          <w:tcPr>
            <w:tcW w:w="5000" w:type="pct"/>
            <w:gridSpan w:val="7"/>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方正小标宋简体" w:hAnsi="宋体" w:eastAsia="方正小标宋简体" w:cs="宋体"/>
                <w:kern w:val="0"/>
                <w:sz w:val="36"/>
                <w:szCs w:val="36"/>
                <w:lang w:val="en-US" w:eastAsia="zh-CN" w:bidi="ar-SA"/>
              </w:rPr>
              <w:t>表九：国有资本经营预算财政拨款支出决算表</w:t>
            </w:r>
          </w:p>
        </w:tc>
      </w:tr>
      <w:tr>
        <w:tblPrEx>
          <w:shd w:val="clear" w:color="auto" w:fill="auto"/>
          <w:tblCellMar>
            <w:top w:w="0" w:type="dxa"/>
            <w:left w:w="0" w:type="dxa"/>
            <w:bottom w:w="0" w:type="dxa"/>
            <w:right w:w="0" w:type="dxa"/>
          </w:tblCellMar>
        </w:tblPrEx>
        <w:trPr>
          <w:trHeight w:val="264" w:hRule="atLeast"/>
        </w:trPr>
        <w:tc>
          <w:tcPr>
            <w:tcW w:w="163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6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1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8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3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4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28"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shd w:val="clear" w:color="auto" w:fill="auto"/>
          <w:tblCellMar>
            <w:top w:w="0" w:type="dxa"/>
            <w:left w:w="0" w:type="dxa"/>
            <w:bottom w:w="0" w:type="dxa"/>
            <w:right w:w="0" w:type="dxa"/>
          </w:tblCellMar>
        </w:tblPrEx>
        <w:trPr>
          <w:trHeight w:val="264" w:hRule="atLeast"/>
        </w:trPr>
        <w:tc>
          <w:tcPr>
            <w:tcW w:w="1633"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部门：柳州市残疾人联合会（汇总）</w:t>
            </w:r>
          </w:p>
        </w:tc>
        <w:tc>
          <w:tcPr>
            <w:tcW w:w="564"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1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83"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31"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645" w:type="pct"/>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028" w:type="pct"/>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235" w:hRule="atLeast"/>
        </w:trPr>
        <w:tc>
          <w:tcPr>
            <w:tcW w:w="2995"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04" w:type="pct"/>
            <w:gridSpan w:val="3"/>
            <w:tcBorders>
              <w:top w:val="single" w:color="000000" w:sz="4" w:space="0"/>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235" w:hRule="atLeast"/>
        </w:trPr>
        <w:tc>
          <w:tcPr>
            <w:tcW w:w="2411" w:type="pct"/>
            <w:gridSpan w:val="3"/>
            <w:vMerge w:val="restart"/>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83" w:type="pct"/>
            <w:vMerge w:val="restar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31"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45"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28" w:type="pct"/>
            <w:vMerge w:val="restart"/>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235" w:hRule="atLeast"/>
        </w:trPr>
        <w:tc>
          <w:tcPr>
            <w:tcW w:w="2411" w:type="pct"/>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83" w:type="pct"/>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45"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28"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2411" w:type="pct"/>
            <w:gridSpan w:val="3"/>
            <w:vMerge w:val="continue"/>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83" w:type="pct"/>
            <w:vMerge w:val="continue"/>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645"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028" w:type="pct"/>
            <w:vMerge w:val="continue"/>
            <w:tcBorders>
              <w:top w:val="nil"/>
              <w:left w:val="nil"/>
              <w:bottom w:val="single" w:color="000000" w:sz="4" w:space="0"/>
              <w:right w:val="single" w:color="000000" w:sz="4" w:space="0"/>
            </w:tcBorders>
            <w:shd w:val="clear" w:color="FFFFFF" w:fill="C0C0C0"/>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2995" w:type="pct"/>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31"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45"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8" w:type="pct"/>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235" w:hRule="atLeast"/>
        </w:trPr>
        <w:tc>
          <w:tcPr>
            <w:tcW w:w="2995" w:type="pct"/>
            <w:gridSpan w:val="4"/>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lang w:val="en-US" w:eastAsia="zh-CN"/>
              </w:rPr>
            </w:pPr>
            <w:r>
              <w:rPr>
                <w:rFonts w:hint="eastAsia" w:ascii="宋体" w:hAnsi="宋体" w:cs="宋体"/>
                <w:b/>
                <w:i w:val="0"/>
                <w:color w:val="000000"/>
                <w:sz w:val="22"/>
                <w:szCs w:val="22"/>
                <w:u w:val="none"/>
                <w:lang w:val="en-US" w:eastAsia="zh-CN"/>
              </w:rPr>
              <w:t>0</w:t>
            </w: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u w:val="none"/>
              </w:rPr>
            </w:pPr>
          </w:p>
        </w:tc>
      </w:tr>
      <w:tr>
        <w:tblPrEx>
          <w:shd w:val="clear" w:color="auto" w:fill="auto"/>
          <w:tblCellMar>
            <w:top w:w="0" w:type="dxa"/>
            <w:left w:w="0" w:type="dxa"/>
            <w:bottom w:w="0" w:type="dxa"/>
            <w:right w:w="0" w:type="dxa"/>
          </w:tblCellMar>
        </w:tblPrEx>
        <w:trPr>
          <w:trHeight w:val="235" w:hRule="atLeast"/>
        </w:trPr>
        <w:tc>
          <w:tcPr>
            <w:tcW w:w="2411"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2411"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2411"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2411"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2411"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2411" w:type="pct"/>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4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1028"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5" w:hRule="atLeast"/>
        </w:trPr>
        <w:tc>
          <w:tcPr>
            <w:tcW w:w="5000" w:type="pct"/>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r>
              <w:rPr>
                <w:rFonts w:hint="eastAsia" w:ascii="宋体" w:hAnsi="宋体" w:cs="宋体"/>
                <w:i w:val="0"/>
                <w:color w:val="000000"/>
                <w:kern w:val="0"/>
                <w:sz w:val="22"/>
                <w:szCs w:val="22"/>
                <w:u w:val="none"/>
                <w:lang w:val="en-US" w:eastAsia="zh-CN" w:bidi="ar"/>
              </w:rPr>
              <w:t>。本年度我单位无国有资本经营预算财政拨款支出</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3286"/>
        </w:tabs>
        <w:bidi w:val="0"/>
        <w:rPr>
          <w:rFonts w:hint="eastAsia"/>
          <w:lang w:val="en-US" w:eastAsia="zh-CN"/>
        </w:rPr>
        <w:sectPr>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tabs>
          <w:tab w:val="left" w:pos="7338"/>
        </w:tabs>
        <w:bidi w:val="0"/>
        <w:jc w:val="left"/>
        <w:rPr>
          <w:rFonts w:hint="eastAsia" w:ascii="仿宋_GB2312" w:eastAsia="仿宋_GB2312"/>
          <w:b/>
          <w:spacing w:val="-20"/>
          <w:sz w:val="32"/>
          <w:szCs w:val="32"/>
        </w:rPr>
      </w:pPr>
      <w:r>
        <w:rPr>
          <w:rFonts w:hint="eastAsia" w:ascii="仿宋_GB2312" w:eastAsia="仿宋_GB2312"/>
          <w:b/>
          <w:spacing w:val="-20"/>
          <w:sz w:val="32"/>
          <w:szCs w:val="32"/>
        </w:rPr>
        <w:t>第三部分：</w:t>
      </w:r>
      <w:r>
        <w:rPr>
          <w:rFonts w:hint="eastAsia" w:ascii="仿宋_GB2312" w:hAnsi="黑体" w:eastAsia="仿宋_GB2312"/>
          <w:b/>
          <w:bCs/>
          <w:color w:val="000000"/>
          <w:spacing w:val="-20"/>
          <w:sz w:val="32"/>
          <w:szCs w:val="32"/>
        </w:rPr>
        <w:t>柳州市残疾人联合会</w:t>
      </w:r>
      <w:r>
        <w:rPr>
          <w:rFonts w:hint="eastAsia" w:ascii="仿宋_GB2312" w:eastAsia="仿宋_GB2312"/>
          <w:b/>
          <w:spacing w:val="-20"/>
          <w:sz w:val="32"/>
          <w:szCs w:val="32"/>
          <w:lang w:val="en-US" w:eastAsia="zh-CN"/>
        </w:rPr>
        <w:t>2020</w:t>
      </w:r>
      <w:r>
        <w:rPr>
          <w:rFonts w:hint="eastAsia" w:ascii="仿宋_GB2312" w:eastAsia="仿宋_GB2312"/>
          <w:b/>
          <w:spacing w:val="-20"/>
          <w:sz w:val="32"/>
          <w:szCs w:val="32"/>
        </w:rPr>
        <w:t>年度部门决算情况说明</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lang w:val="en-US" w:eastAsia="zh-CN"/>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60" w:lineRule="exact"/>
        <w:ind w:firstLine="643" w:firstLineChars="200"/>
        <w:jc w:val="left"/>
        <w:rPr>
          <w:rFonts w:hint="eastAsia" w:ascii="仿宋_GB2312" w:eastAsia="仿宋_GB2312" w:cs="仿宋_GB2312"/>
          <w:b w:val="0"/>
          <w:bCs/>
          <w:kern w:val="0"/>
          <w:sz w:val="32"/>
          <w:szCs w:val="32"/>
          <w:lang w:val="en-US" w:eastAsia="zh-CN"/>
        </w:rPr>
      </w:pPr>
      <w:r>
        <w:rPr>
          <w:rFonts w:hint="eastAsia" w:ascii="仿宋_GB2312" w:eastAsia="仿宋_GB2312" w:cs="仿宋_GB2312"/>
          <w:b/>
          <w:kern w:val="0"/>
          <w:sz w:val="32"/>
          <w:szCs w:val="32"/>
        </w:rPr>
        <w:t xml:space="preserve"> </w:t>
      </w:r>
      <w:r>
        <w:rPr>
          <w:rFonts w:hint="eastAsia" w:ascii="仿宋_GB2312" w:eastAsia="仿宋_GB2312" w:cs="仿宋_GB2312"/>
          <w:b w:val="0"/>
          <w:bCs/>
          <w:kern w:val="0"/>
          <w:sz w:val="32"/>
          <w:szCs w:val="32"/>
          <w:lang w:val="en-US" w:eastAsia="zh-CN"/>
        </w:rPr>
        <w:t>2020</w:t>
      </w:r>
      <w:r>
        <w:rPr>
          <w:rFonts w:hint="eastAsia" w:ascii="仿宋_GB2312" w:eastAsia="仿宋_GB2312" w:cs="仿宋_GB2312"/>
          <w:b w:val="0"/>
          <w:bCs/>
          <w:kern w:val="0"/>
          <w:sz w:val="32"/>
          <w:szCs w:val="32"/>
        </w:rPr>
        <w:t>年度收入总计</w:t>
      </w:r>
      <w:r>
        <w:rPr>
          <w:rFonts w:hint="eastAsia" w:ascii="仿宋_GB2312" w:eastAsia="仿宋_GB2312" w:cs="仿宋_GB2312"/>
          <w:b w:val="0"/>
          <w:bCs/>
          <w:kern w:val="0"/>
          <w:sz w:val="32"/>
          <w:szCs w:val="32"/>
          <w:lang w:val="en-US" w:eastAsia="zh-CN"/>
        </w:rPr>
        <w:t>4915.05</w:t>
      </w:r>
      <w:r>
        <w:rPr>
          <w:rFonts w:hint="eastAsia" w:ascii="仿宋_GB2312" w:eastAsia="仿宋_GB2312" w:cs="仿宋_GB2312"/>
          <w:b w:val="0"/>
          <w:bCs/>
          <w:kern w:val="0"/>
          <w:sz w:val="32"/>
          <w:szCs w:val="32"/>
        </w:rPr>
        <w:t>万元，支出总计</w:t>
      </w:r>
      <w:r>
        <w:rPr>
          <w:rFonts w:hint="eastAsia" w:ascii="仿宋_GB2312" w:eastAsia="仿宋_GB2312" w:cs="仿宋_GB2312"/>
          <w:b w:val="0"/>
          <w:bCs/>
          <w:kern w:val="0"/>
          <w:sz w:val="32"/>
          <w:szCs w:val="32"/>
          <w:lang w:val="en-US" w:eastAsia="zh-CN"/>
        </w:rPr>
        <w:t>4915.05</w:t>
      </w:r>
    </w:p>
    <w:p>
      <w:pPr>
        <w:autoSpaceDE w:val="0"/>
        <w:autoSpaceDN w:val="0"/>
        <w:adjustRightInd w:val="0"/>
        <w:spacing w:line="560" w:lineRule="exact"/>
        <w:jc w:val="left"/>
        <w:rPr>
          <w:rFonts w:hint="default" w:ascii="仿宋_GB2312" w:eastAsia="仿宋_GB2312" w:cs="仿宋_GB2312"/>
          <w:b w:val="0"/>
          <w:bCs/>
          <w:kern w:val="0"/>
          <w:sz w:val="32"/>
          <w:szCs w:val="32"/>
          <w:lang w:val="en-US"/>
        </w:rPr>
      </w:pPr>
      <w:r>
        <w:rPr>
          <w:rFonts w:hint="eastAsia" w:ascii="仿宋_GB2312" w:eastAsia="仿宋_GB2312" w:cs="仿宋_GB2312"/>
          <w:b w:val="0"/>
          <w:bCs/>
          <w:kern w:val="0"/>
          <w:sz w:val="32"/>
          <w:szCs w:val="32"/>
        </w:rPr>
        <w:t>万元，与</w:t>
      </w:r>
      <w:r>
        <w:rPr>
          <w:rFonts w:hint="eastAsia" w:ascii="仿宋_GB2312" w:eastAsia="仿宋_GB2312" w:cs="仿宋_GB2312"/>
          <w:b w:val="0"/>
          <w:bCs/>
          <w:kern w:val="0"/>
          <w:sz w:val="32"/>
          <w:szCs w:val="32"/>
          <w:lang w:eastAsia="zh-CN"/>
        </w:rPr>
        <w:t>20</w:t>
      </w:r>
      <w:r>
        <w:rPr>
          <w:rFonts w:hint="eastAsia" w:ascii="仿宋_GB2312" w:eastAsia="仿宋_GB2312" w:cs="仿宋_GB2312"/>
          <w:b w:val="0"/>
          <w:bCs/>
          <w:kern w:val="0"/>
          <w:sz w:val="32"/>
          <w:szCs w:val="32"/>
          <w:lang w:val="en-US" w:eastAsia="zh-CN"/>
        </w:rPr>
        <w:t>19</w:t>
      </w:r>
      <w:r>
        <w:rPr>
          <w:rFonts w:hint="eastAsia" w:ascii="仿宋_GB2312" w:eastAsia="仿宋_GB2312" w:cs="仿宋_GB2312"/>
          <w:b w:val="0"/>
          <w:bCs/>
          <w:kern w:val="0"/>
          <w:sz w:val="32"/>
          <w:szCs w:val="32"/>
        </w:rPr>
        <w:t>年相比，收、支分别</w:t>
      </w:r>
      <w:r>
        <w:rPr>
          <w:rFonts w:hint="eastAsia" w:ascii="仿宋_GB2312" w:eastAsia="仿宋_GB2312" w:cs="仿宋_GB2312"/>
          <w:b w:val="0"/>
          <w:bCs/>
          <w:kern w:val="0"/>
          <w:sz w:val="32"/>
          <w:szCs w:val="32"/>
          <w:lang w:eastAsia="zh-CN"/>
        </w:rPr>
        <w:t>减少</w:t>
      </w:r>
      <w:r>
        <w:rPr>
          <w:rFonts w:hint="eastAsia" w:ascii="仿宋_GB2312" w:eastAsia="仿宋_GB2312" w:cs="仿宋_GB2312"/>
          <w:b w:val="0"/>
          <w:bCs/>
          <w:kern w:val="0"/>
          <w:sz w:val="32"/>
          <w:szCs w:val="32"/>
          <w:lang w:val="en-US" w:eastAsia="zh-CN"/>
        </w:rPr>
        <w:t>2135.49万元</w:t>
      </w:r>
      <w:r>
        <w:rPr>
          <w:rFonts w:hint="eastAsia" w:ascii="仿宋_GB2312" w:eastAsia="仿宋_GB2312" w:cs="仿宋_GB2312"/>
          <w:b w:val="0"/>
          <w:bCs/>
          <w:kern w:val="0"/>
          <w:sz w:val="32"/>
          <w:szCs w:val="32"/>
        </w:rPr>
        <w:t>；分别</w:t>
      </w:r>
      <w:r>
        <w:rPr>
          <w:rFonts w:hint="eastAsia" w:ascii="仿宋_GB2312" w:eastAsia="仿宋_GB2312" w:cs="仿宋_GB2312"/>
          <w:b w:val="0"/>
          <w:bCs/>
          <w:kern w:val="0"/>
          <w:sz w:val="32"/>
          <w:szCs w:val="32"/>
          <w:lang w:eastAsia="zh-CN"/>
        </w:rPr>
        <w:t>减少</w:t>
      </w:r>
      <w:r>
        <w:rPr>
          <w:rFonts w:hint="eastAsia" w:ascii="仿宋_GB2312" w:eastAsia="仿宋_GB2312" w:cs="仿宋_GB2312"/>
          <w:b w:val="0"/>
          <w:bCs/>
          <w:kern w:val="0"/>
          <w:sz w:val="32"/>
          <w:szCs w:val="32"/>
          <w:lang w:val="en-US" w:eastAsia="zh-CN"/>
        </w:rPr>
        <w:t>30.29%.</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r>
        <w:rPr>
          <w:rFonts w:hint="eastAsia" w:ascii="仿宋_GB2312" w:eastAsia="仿宋_GB2312" w:cs="仿宋_GB2312"/>
          <w:b/>
          <w:kern w:val="0"/>
          <w:sz w:val="32"/>
          <w:szCs w:val="32"/>
          <w:lang w:eastAsia="zh-CN"/>
        </w:rPr>
        <w:t>二、</w:t>
      </w:r>
      <w:r>
        <w:rPr>
          <w:rFonts w:hint="eastAsia" w:eastAsia="仿宋_GB2312"/>
          <w:b/>
          <w:kern w:val="0"/>
          <w:sz w:val="32"/>
          <w:szCs w:val="32"/>
          <w:lang w:val="en-US" w:eastAsia="zh-CN"/>
        </w:rPr>
        <w:t>2020</w:t>
      </w:r>
      <w:r>
        <w:rPr>
          <w:rFonts w:hint="eastAsia" w:ascii="仿宋_GB2312" w:eastAsia="仿宋_GB2312" w:cs="仿宋_GB2312"/>
          <w:b/>
          <w:kern w:val="0"/>
          <w:sz w:val="32"/>
          <w:szCs w:val="32"/>
        </w:rPr>
        <w:t>年度收入决算情况</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rPr>
      </w:pPr>
      <w:r>
        <w:rPr>
          <w:rFonts w:hint="eastAsia" w:ascii="仿宋_GB2312" w:eastAsia="仿宋_GB2312" w:cs="仿宋_GB2312"/>
          <w:b w:val="0"/>
          <w:bCs/>
          <w:kern w:val="0"/>
          <w:sz w:val="32"/>
          <w:szCs w:val="32"/>
        </w:rPr>
        <w:t>本年收入总计</w:t>
      </w:r>
      <w:r>
        <w:rPr>
          <w:rFonts w:hint="eastAsia" w:ascii="仿宋_GB2312" w:eastAsia="仿宋_GB2312" w:cs="仿宋_GB2312"/>
          <w:b w:val="0"/>
          <w:bCs/>
          <w:kern w:val="0"/>
          <w:sz w:val="32"/>
          <w:szCs w:val="32"/>
          <w:lang w:val="en-US" w:eastAsia="zh-CN"/>
        </w:rPr>
        <w:t>3974.52</w:t>
      </w:r>
      <w:r>
        <w:rPr>
          <w:rFonts w:hint="eastAsia" w:ascii="仿宋_GB2312" w:eastAsia="仿宋_GB2312" w:cs="仿宋_GB2312"/>
          <w:b w:val="0"/>
          <w:bCs/>
          <w:kern w:val="0"/>
          <w:sz w:val="32"/>
          <w:szCs w:val="32"/>
        </w:rPr>
        <w:t>万元 ，其中：</w:t>
      </w:r>
      <w:r>
        <w:rPr>
          <w:rFonts w:hint="eastAsia" w:ascii="仿宋_GB2312" w:eastAsia="仿宋_GB2312" w:cs="仿宋_GB2312"/>
          <w:b w:val="0"/>
          <w:bCs/>
          <w:kern w:val="0"/>
          <w:sz w:val="32"/>
          <w:szCs w:val="32"/>
          <w:lang w:eastAsia="zh-CN"/>
        </w:rPr>
        <w:t>一般公共预算财政拨款</w:t>
      </w:r>
      <w:r>
        <w:rPr>
          <w:rFonts w:hint="eastAsia" w:ascii="仿宋_GB2312" w:eastAsia="仿宋_GB2312" w:cs="仿宋_GB2312"/>
          <w:b w:val="0"/>
          <w:bCs/>
          <w:kern w:val="0"/>
          <w:sz w:val="32"/>
          <w:szCs w:val="32"/>
        </w:rPr>
        <w:t>收入</w:t>
      </w:r>
      <w:r>
        <w:rPr>
          <w:rFonts w:hint="eastAsia" w:ascii="仿宋_GB2312" w:eastAsia="仿宋_GB2312" w:cs="仿宋_GB2312"/>
          <w:b w:val="0"/>
          <w:bCs/>
          <w:kern w:val="0"/>
          <w:sz w:val="32"/>
          <w:szCs w:val="32"/>
          <w:lang w:val="en-US" w:eastAsia="zh-CN"/>
        </w:rPr>
        <w:t>3677.83</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93.17%</w:t>
      </w:r>
      <w:r>
        <w:rPr>
          <w:rFonts w:hint="eastAsia" w:ascii="仿宋_GB2312" w:eastAsia="仿宋_GB2312" w:cs="仿宋_GB2312"/>
          <w:b w:val="0"/>
          <w:bCs/>
          <w:kern w:val="0"/>
          <w:sz w:val="32"/>
          <w:szCs w:val="32"/>
        </w:rPr>
        <w:t> ；</w:t>
      </w:r>
      <w:r>
        <w:rPr>
          <w:rFonts w:hint="eastAsia" w:ascii="仿宋_GB2312" w:eastAsia="仿宋_GB2312" w:cs="仿宋_GB2312"/>
          <w:b w:val="0"/>
          <w:bCs/>
          <w:kern w:val="0"/>
          <w:sz w:val="32"/>
          <w:szCs w:val="32"/>
          <w:lang w:eastAsia="zh-CN"/>
        </w:rPr>
        <w:t>政府基金预算财政拨款收入</w:t>
      </w:r>
      <w:r>
        <w:rPr>
          <w:rFonts w:hint="eastAsia" w:ascii="仿宋_GB2312" w:eastAsia="仿宋_GB2312" w:cs="仿宋_GB2312"/>
          <w:b w:val="0"/>
          <w:bCs/>
          <w:kern w:val="0"/>
          <w:sz w:val="32"/>
          <w:szCs w:val="32"/>
          <w:lang w:val="en-US" w:eastAsia="zh-CN"/>
        </w:rPr>
        <w:t>68.8万元；占比1.74%；</w:t>
      </w:r>
      <w:r>
        <w:rPr>
          <w:rFonts w:hint="eastAsia" w:ascii="仿宋_GB2312" w:eastAsia="仿宋_GB2312" w:cs="仿宋_GB2312"/>
          <w:b w:val="0"/>
          <w:bCs/>
          <w:kern w:val="0"/>
          <w:sz w:val="32"/>
          <w:szCs w:val="32"/>
        </w:rPr>
        <w:t>事业收入</w:t>
      </w:r>
      <w:r>
        <w:rPr>
          <w:rFonts w:hint="eastAsia" w:ascii="仿宋_GB2312" w:eastAsia="仿宋_GB2312" w:cs="仿宋_GB2312"/>
          <w:b w:val="0"/>
          <w:bCs/>
          <w:kern w:val="0"/>
          <w:sz w:val="32"/>
          <w:szCs w:val="32"/>
          <w:lang w:val="en-US" w:eastAsia="zh-CN"/>
        </w:rPr>
        <w:t>217.77</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5.52%</w:t>
      </w:r>
      <w:r>
        <w:rPr>
          <w:rFonts w:hint="eastAsia" w:ascii="仿宋_GB2312" w:eastAsia="仿宋_GB2312" w:cs="仿宋_GB2312"/>
          <w:b w:val="0"/>
          <w:bCs/>
          <w:kern w:val="0"/>
          <w:sz w:val="32"/>
          <w:szCs w:val="32"/>
        </w:rPr>
        <w:t xml:space="preserve"> ；其他收入</w:t>
      </w:r>
      <w:r>
        <w:rPr>
          <w:rFonts w:hint="eastAsia" w:ascii="仿宋_GB2312" w:eastAsia="仿宋_GB2312" w:cs="仿宋_GB2312"/>
          <w:b w:val="0"/>
          <w:bCs/>
          <w:kern w:val="0"/>
          <w:sz w:val="32"/>
          <w:szCs w:val="32"/>
          <w:lang w:val="en-US" w:eastAsia="zh-CN"/>
        </w:rPr>
        <w:t>10.3</w:t>
      </w:r>
      <w:r>
        <w:rPr>
          <w:rFonts w:hint="eastAsia" w:ascii="仿宋_GB2312" w:eastAsia="仿宋_GB2312" w:cs="仿宋_GB2312"/>
          <w:b w:val="0"/>
          <w:bCs/>
          <w:kern w:val="0"/>
          <w:sz w:val="32"/>
          <w:szCs w:val="32"/>
        </w:rPr>
        <w:t>万元，占比</w:t>
      </w:r>
      <w:r>
        <w:rPr>
          <w:rFonts w:hint="eastAsia" w:ascii="仿宋_GB2312" w:eastAsia="仿宋_GB2312" w:cs="仿宋_GB2312"/>
          <w:b w:val="0"/>
          <w:bCs/>
          <w:kern w:val="0"/>
          <w:sz w:val="32"/>
          <w:szCs w:val="32"/>
          <w:lang w:val="en-US" w:eastAsia="zh-CN"/>
        </w:rPr>
        <w:t>0.26%</w:t>
      </w:r>
      <w:r>
        <w:rPr>
          <w:rFonts w:hint="eastAsia" w:ascii="仿宋_GB2312" w:eastAsia="仿宋_GB2312" w:cs="仿宋_GB2312"/>
          <w:bCs/>
          <w:kern w:val="0"/>
          <w:sz w:val="32"/>
          <w:szCs w:val="32"/>
        </w:rPr>
        <w:t>。</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r>
        <w:rPr>
          <w:rFonts w:hint="eastAsia" w:ascii="仿宋_GB2312" w:eastAsia="仿宋_GB2312" w:cs="仿宋_GB2312"/>
          <w:b/>
          <w:kern w:val="0"/>
          <w:sz w:val="32"/>
          <w:szCs w:val="32"/>
          <w:lang w:eastAsia="zh-CN"/>
        </w:rPr>
        <w:t>三、</w:t>
      </w:r>
      <w:r>
        <w:rPr>
          <w:rFonts w:hint="eastAsia" w:eastAsia="仿宋_GB2312"/>
          <w:b/>
          <w:kern w:val="0"/>
          <w:sz w:val="32"/>
          <w:szCs w:val="32"/>
          <w:lang w:eastAsia="zh-CN"/>
        </w:rPr>
        <w:t>20</w:t>
      </w:r>
      <w:r>
        <w:rPr>
          <w:rFonts w:hint="eastAsia" w:eastAsia="仿宋_GB2312"/>
          <w:b/>
          <w:kern w:val="0"/>
          <w:sz w:val="32"/>
          <w:szCs w:val="32"/>
          <w:lang w:val="en-US" w:eastAsia="zh-CN"/>
        </w:rPr>
        <w:t>20</w:t>
      </w:r>
      <w:r>
        <w:rPr>
          <w:rFonts w:hint="eastAsia" w:ascii="仿宋_GB2312" w:eastAsia="仿宋_GB2312" w:cs="仿宋_GB2312"/>
          <w:b/>
          <w:kern w:val="0"/>
          <w:sz w:val="32"/>
          <w:szCs w:val="32"/>
        </w:rPr>
        <w:t>年度</w:t>
      </w:r>
      <w:r>
        <w:rPr>
          <w:rFonts w:hint="eastAsia" w:ascii="仿宋_GB2312" w:eastAsia="仿宋_GB2312" w:cs="仿宋_GB2312"/>
          <w:b/>
          <w:kern w:val="0"/>
          <w:sz w:val="32"/>
          <w:szCs w:val="32"/>
          <w:lang w:eastAsia="zh-CN"/>
        </w:rPr>
        <w:t>支出</w:t>
      </w:r>
      <w:r>
        <w:rPr>
          <w:rFonts w:hint="eastAsia" w:ascii="仿宋_GB2312" w:eastAsia="仿宋_GB2312" w:cs="仿宋_GB2312"/>
          <w:b/>
          <w:kern w:val="0"/>
          <w:sz w:val="32"/>
          <w:szCs w:val="32"/>
        </w:rPr>
        <w:t>决算情况</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lang w:val="en-US" w:eastAsia="zh-CN"/>
        </w:rPr>
      </w:pPr>
      <w:r>
        <w:rPr>
          <w:rFonts w:hint="eastAsia" w:ascii="仿宋_GB2312" w:eastAsia="仿宋_GB2312" w:cs="仿宋_GB2312"/>
          <w:b w:val="0"/>
          <w:bCs/>
          <w:kern w:val="0"/>
          <w:sz w:val="32"/>
          <w:szCs w:val="32"/>
        </w:rPr>
        <w:t xml:space="preserve">本年支出合计 </w:t>
      </w:r>
      <w:r>
        <w:rPr>
          <w:rFonts w:hint="eastAsia" w:ascii="仿宋_GB2312" w:eastAsia="仿宋_GB2312" w:cs="仿宋_GB2312"/>
          <w:b w:val="0"/>
          <w:bCs/>
          <w:kern w:val="0"/>
          <w:sz w:val="32"/>
          <w:szCs w:val="32"/>
          <w:lang w:val="en-US" w:eastAsia="zh-CN"/>
        </w:rPr>
        <w:t>3832.12</w:t>
      </w:r>
      <w:r>
        <w:rPr>
          <w:rFonts w:hint="eastAsia" w:ascii="仿宋_GB2312" w:eastAsia="仿宋_GB2312" w:cs="仿宋_GB2312"/>
          <w:b w:val="0"/>
          <w:bCs/>
          <w:kern w:val="0"/>
          <w:sz w:val="32"/>
          <w:szCs w:val="32"/>
        </w:rPr>
        <w:t xml:space="preserve">万元，其中：基本支出 </w:t>
      </w:r>
      <w:r>
        <w:rPr>
          <w:rFonts w:hint="eastAsia" w:ascii="仿宋_GB2312" w:eastAsia="仿宋_GB2312" w:cs="仿宋_GB2312"/>
          <w:b w:val="0"/>
          <w:bCs/>
          <w:kern w:val="0"/>
          <w:sz w:val="32"/>
          <w:szCs w:val="32"/>
          <w:lang w:val="en-US" w:eastAsia="zh-CN"/>
        </w:rPr>
        <w:t>642.23</w:t>
      </w:r>
      <w:r>
        <w:rPr>
          <w:rFonts w:hint="eastAsia" w:ascii="仿宋_GB2312" w:eastAsia="仿宋_GB2312" w:cs="仿宋_GB2312"/>
          <w:b w:val="0"/>
          <w:bCs/>
          <w:kern w:val="0"/>
          <w:sz w:val="32"/>
          <w:szCs w:val="32"/>
        </w:rPr>
        <w:t>万元，占</w:t>
      </w:r>
      <w:r>
        <w:rPr>
          <w:rFonts w:hint="eastAsia" w:ascii="仿宋_GB2312" w:eastAsia="仿宋_GB2312" w:cs="仿宋_GB2312"/>
          <w:b w:val="0"/>
          <w:bCs/>
          <w:kern w:val="0"/>
          <w:sz w:val="32"/>
          <w:szCs w:val="32"/>
          <w:lang w:val="en-US" w:eastAsia="zh-CN"/>
        </w:rPr>
        <w:t>16.76</w:t>
      </w:r>
      <w:r>
        <w:rPr>
          <w:rFonts w:hint="eastAsia" w:ascii="仿宋_GB2312" w:eastAsia="仿宋_GB2312" w:cs="仿宋_GB2312"/>
          <w:b w:val="0"/>
          <w:bCs/>
          <w:kern w:val="0"/>
          <w:sz w:val="32"/>
          <w:szCs w:val="32"/>
        </w:rPr>
        <w:t>%；项目支出</w:t>
      </w:r>
      <w:r>
        <w:rPr>
          <w:rFonts w:hint="eastAsia" w:ascii="仿宋_GB2312" w:eastAsia="仿宋_GB2312" w:cs="仿宋_GB2312"/>
          <w:b w:val="0"/>
          <w:bCs/>
          <w:kern w:val="0"/>
          <w:sz w:val="32"/>
          <w:szCs w:val="32"/>
          <w:lang w:val="en-US" w:eastAsia="zh-CN"/>
        </w:rPr>
        <w:t>3189.89</w:t>
      </w:r>
      <w:r>
        <w:rPr>
          <w:rFonts w:hint="eastAsia" w:ascii="仿宋_GB2312" w:eastAsia="仿宋_GB2312" w:cs="仿宋_GB2312"/>
          <w:b w:val="0"/>
          <w:bCs/>
          <w:kern w:val="0"/>
          <w:sz w:val="32"/>
          <w:szCs w:val="32"/>
        </w:rPr>
        <w:t>万元， 占</w:t>
      </w:r>
      <w:r>
        <w:rPr>
          <w:rFonts w:hint="eastAsia" w:ascii="仿宋_GB2312" w:eastAsia="仿宋_GB2312" w:cs="仿宋_GB2312"/>
          <w:b w:val="0"/>
          <w:bCs/>
          <w:kern w:val="0"/>
          <w:sz w:val="32"/>
          <w:szCs w:val="32"/>
          <w:lang w:val="en-US" w:eastAsia="zh-CN"/>
        </w:rPr>
        <w:t>83.24</w:t>
      </w:r>
      <w:r>
        <w:rPr>
          <w:rFonts w:hint="eastAsia" w:ascii="仿宋_GB2312" w:eastAsia="仿宋_GB2312" w:cs="仿宋_GB2312"/>
          <w:b w:val="0"/>
          <w:bCs/>
          <w:kern w:val="0"/>
          <w:sz w:val="32"/>
          <w:szCs w:val="32"/>
        </w:rPr>
        <w:t>%；</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lang w:eastAsia="zh-CN"/>
        </w:rPr>
      </w:pPr>
      <w:r>
        <w:rPr>
          <w:rFonts w:hint="eastAsia" w:ascii="仿宋_GB2312" w:eastAsia="仿宋_GB2312" w:cs="仿宋_GB2312"/>
          <w:b/>
          <w:bCs w:val="0"/>
          <w:kern w:val="0"/>
          <w:sz w:val="32"/>
          <w:szCs w:val="32"/>
          <w:lang w:eastAsia="zh-CN"/>
        </w:rPr>
        <w:t>四、</w:t>
      </w:r>
      <w:r>
        <w:rPr>
          <w:rFonts w:hint="eastAsia" w:eastAsia="仿宋_GB2312"/>
          <w:b/>
          <w:kern w:val="0"/>
          <w:sz w:val="32"/>
          <w:szCs w:val="32"/>
          <w:lang w:val="en-US" w:eastAsia="zh-CN"/>
        </w:rPr>
        <w:t>2020</w:t>
      </w:r>
      <w:r>
        <w:rPr>
          <w:rFonts w:hint="eastAsia" w:ascii="仿宋_GB2312" w:eastAsia="仿宋_GB2312" w:cs="仿宋_GB2312"/>
          <w:b/>
          <w:kern w:val="0"/>
          <w:sz w:val="32"/>
          <w:szCs w:val="32"/>
        </w:rPr>
        <w:t>年度</w:t>
      </w:r>
      <w:r>
        <w:rPr>
          <w:rFonts w:hint="eastAsia" w:ascii="仿宋_GB2312" w:eastAsia="仿宋_GB2312" w:cs="仿宋_GB2312"/>
          <w:b/>
          <w:kern w:val="0"/>
          <w:sz w:val="32"/>
          <w:szCs w:val="32"/>
          <w:lang w:eastAsia="zh-CN"/>
        </w:rPr>
        <w:t>财政拨款收入支出决算情况</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本部门</w:t>
      </w: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年度财政拨款收、支总决算</w:t>
      </w:r>
      <w:r>
        <w:rPr>
          <w:rFonts w:hint="eastAsia" w:ascii="仿宋_GB2312" w:eastAsia="仿宋_GB2312" w:cs="仿宋_GB2312"/>
          <w:bCs/>
          <w:kern w:val="0"/>
          <w:sz w:val="32"/>
          <w:szCs w:val="32"/>
          <w:lang w:val="en-US" w:eastAsia="zh-CN"/>
        </w:rPr>
        <w:t>3746.63</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3487.61</w:t>
      </w:r>
      <w:r>
        <w:rPr>
          <w:rFonts w:hint="eastAsia" w:ascii="仿宋_GB2312" w:eastAsia="仿宋_GB2312" w:cs="仿宋_GB2312"/>
          <w:bCs/>
          <w:kern w:val="0"/>
          <w:sz w:val="32"/>
          <w:szCs w:val="32"/>
        </w:rPr>
        <w:t xml:space="preserve">万元。与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年相比，财政拨款收、支总计各增加</w:t>
      </w:r>
      <w:r>
        <w:rPr>
          <w:rFonts w:hint="eastAsia" w:ascii="仿宋_GB2312" w:eastAsia="仿宋_GB2312" w:cs="仿宋_GB2312"/>
          <w:bCs/>
          <w:kern w:val="0"/>
          <w:sz w:val="32"/>
          <w:szCs w:val="32"/>
          <w:lang w:val="en-US" w:eastAsia="zh-CN"/>
        </w:rPr>
        <w:t>减少1476.83</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1996.36万元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下降</w:t>
      </w:r>
      <w:r>
        <w:rPr>
          <w:rFonts w:hint="eastAsia" w:ascii="仿宋_GB2312" w:eastAsia="仿宋_GB2312" w:cs="仿宋_GB2312"/>
          <w:bCs/>
          <w:kern w:val="0"/>
          <w:sz w:val="32"/>
          <w:szCs w:val="32"/>
          <w:lang w:val="en-US" w:eastAsia="zh-CN"/>
        </w:rPr>
        <w:t>28.27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36.4%</w:t>
      </w:r>
      <w:r>
        <w:rPr>
          <w:rFonts w:hint="eastAsia" w:ascii="仿宋_GB2312" w:eastAsia="仿宋_GB2312" w:cs="仿宋_GB2312"/>
          <w:bCs/>
          <w:kern w:val="0"/>
          <w:sz w:val="32"/>
          <w:szCs w:val="32"/>
        </w:rPr>
        <w:t>。</w:t>
      </w:r>
    </w:p>
    <w:p>
      <w:pPr>
        <w:autoSpaceDE w:val="0"/>
        <w:autoSpaceDN w:val="0"/>
        <w:adjustRightInd w:val="0"/>
        <w:spacing w:line="560" w:lineRule="exact"/>
        <w:ind w:firstLine="643" w:firstLineChars="200"/>
        <w:jc w:val="left"/>
        <w:rPr>
          <w:rFonts w:hint="eastAsia" w:eastAsia="仿宋_GB2312"/>
          <w:b/>
          <w:kern w:val="0"/>
          <w:sz w:val="32"/>
          <w:szCs w:val="32"/>
        </w:rPr>
      </w:pPr>
      <w:r>
        <w:rPr>
          <w:rFonts w:hint="eastAsia" w:ascii="仿宋_GB2312" w:eastAsia="仿宋_GB2312" w:cs="仿宋_GB2312"/>
          <w:b/>
          <w:bCs w:val="0"/>
          <w:kern w:val="0"/>
          <w:sz w:val="32"/>
          <w:szCs w:val="32"/>
        </w:rPr>
        <w:t>五</w:t>
      </w:r>
      <w:r>
        <w:rPr>
          <w:rFonts w:hint="eastAsia" w:ascii="仿宋_GB2312" w:eastAsia="仿宋_GB2312" w:cs="仿宋_GB2312"/>
          <w:b/>
          <w:bCs w:val="0"/>
          <w:kern w:val="0"/>
          <w:sz w:val="32"/>
          <w:szCs w:val="32"/>
          <w:lang w:eastAsia="zh-CN"/>
        </w:rPr>
        <w:t>、</w:t>
      </w:r>
      <w:r>
        <w:rPr>
          <w:rFonts w:hint="eastAsia" w:eastAsia="仿宋_GB2312"/>
          <w:b/>
          <w:kern w:val="0"/>
          <w:sz w:val="32"/>
          <w:szCs w:val="32"/>
          <w:lang w:eastAsia="zh-CN"/>
        </w:rPr>
        <w:t>20</w:t>
      </w:r>
      <w:r>
        <w:rPr>
          <w:rFonts w:hint="eastAsia" w:eastAsia="仿宋_GB2312"/>
          <w:b/>
          <w:kern w:val="0"/>
          <w:sz w:val="32"/>
          <w:szCs w:val="32"/>
          <w:lang w:val="en-US" w:eastAsia="zh-CN"/>
        </w:rPr>
        <w:t>20</w:t>
      </w:r>
      <w:r>
        <w:rPr>
          <w:rFonts w:hint="eastAsia" w:eastAsia="仿宋_GB2312"/>
          <w:b/>
          <w:kern w:val="0"/>
          <w:sz w:val="32"/>
          <w:szCs w:val="32"/>
        </w:rPr>
        <w:t>年度一般公共预算财政拨款支出决算情况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highlight w:val="none"/>
        </w:rPr>
        <w:t>部门</w:t>
      </w:r>
      <w:r>
        <w:rPr>
          <w:rFonts w:hint="eastAsia" w:ascii="仿宋_GB2312" w:eastAsia="仿宋_GB2312" w:cs="仿宋_GB2312"/>
          <w:bCs/>
          <w:kern w:val="0"/>
          <w:sz w:val="32"/>
          <w:szCs w:val="32"/>
          <w:highlight w:val="none"/>
          <w:lang w:eastAsia="zh-CN"/>
        </w:rPr>
        <w:t>20</w:t>
      </w:r>
      <w:r>
        <w:rPr>
          <w:rFonts w:hint="eastAsia" w:ascii="仿宋_GB2312" w:eastAsia="仿宋_GB2312" w:cs="仿宋_GB2312"/>
          <w:bCs/>
          <w:kern w:val="0"/>
          <w:sz w:val="32"/>
          <w:szCs w:val="32"/>
          <w:highlight w:val="none"/>
          <w:lang w:val="en-US" w:eastAsia="zh-CN"/>
        </w:rPr>
        <w:t>20</w:t>
      </w:r>
      <w:r>
        <w:rPr>
          <w:rFonts w:hint="eastAsia" w:ascii="仿宋_GB2312" w:eastAsia="仿宋_GB2312" w:cs="仿宋_GB2312"/>
          <w:bCs/>
          <w:kern w:val="0"/>
          <w:sz w:val="32"/>
          <w:szCs w:val="32"/>
          <w:highlight w:val="none"/>
        </w:rPr>
        <w:t>年度财政拨款支出</w:t>
      </w:r>
      <w:r>
        <w:rPr>
          <w:rFonts w:hint="eastAsia" w:ascii="仿宋_GB2312" w:eastAsia="仿宋_GB2312" w:cs="仿宋_GB2312"/>
          <w:bCs/>
          <w:kern w:val="0"/>
          <w:sz w:val="32"/>
          <w:szCs w:val="32"/>
          <w:highlight w:val="none"/>
          <w:lang w:val="en-US" w:eastAsia="zh-CN"/>
        </w:rPr>
        <w:t>3418.81</w:t>
      </w:r>
      <w:r>
        <w:rPr>
          <w:rFonts w:hint="eastAsia" w:ascii="仿宋_GB2312" w:eastAsia="仿宋_GB2312" w:cs="仿宋_GB2312"/>
          <w:bCs/>
          <w:kern w:val="0"/>
          <w:sz w:val="32"/>
          <w:szCs w:val="32"/>
          <w:highlight w:val="none"/>
        </w:rPr>
        <w:t xml:space="preserve">万元，占本年支出合计的 </w:t>
      </w:r>
      <w:r>
        <w:rPr>
          <w:rFonts w:hint="eastAsia" w:ascii="仿宋_GB2312" w:eastAsia="仿宋_GB2312" w:cs="仿宋_GB2312"/>
          <w:bCs/>
          <w:kern w:val="0"/>
          <w:sz w:val="32"/>
          <w:szCs w:val="32"/>
          <w:highlight w:val="none"/>
          <w:lang w:val="en-US" w:eastAsia="zh-CN"/>
        </w:rPr>
        <w:t>89.21</w:t>
      </w:r>
      <w:r>
        <w:rPr>
          <w:rFonts w:hint="eastAsia" w:ascii="仿宋_GB2312" w:eastAsia="仿宋_GB2312" w:cs="仿宋_GB2312"/>
          <w:bCs/>
          <w:kern w:val="0"/>
          <w:sz w:val="32"/>
          <w:szCs w:val="32"/>
          <w:highlight w:val="none"/>
        </w:rPr>
        <w:t xml:space="preserve">%。与 </w:t>
      </w:r>
      <w:r>
        <w:rPr>
          <w:rFonts w:hint="eastAsia" w:ascii="仿宋_GB2312" w:eastAsia="仿宋_GB2312" w:cs="仿宋_GB2312"/>
          <w:bCs/>
          <w:kern w:val="0"/>
          <w:sz w:val="32"/>
          <w:szCs w:val="32"/>
          <w:highlight w:val="none"/>
          <w:lang w:eastAsia="zh-CN"/>
        </w:rPr>
        <w:t>201</w:t>
      </w:r>
      <w:r>
        <w:rPr>
          <w:rFonts w:hint="eastAsia" w:ascii="仿宋_GB2312" w:eastAsia="仿宋_GB2312" w:cs="仿宋_GB2312"/>
          <w:bCs/>
          <w:kern w:val="0"/>
          <w:sz w:val="32"/>
          <w:szCs w:val="32"/>
          <w:highlight w:val="none"/>
          <w:lang w:val="en-US" w:eastAsia="zh-CN"/>
        </w:rPr>
        <w:t>9</w:t>
      </w:r>
      <w:r>
        <w:rPr>
          <w:rFonts w:hint="eastAsia" w:ascii="仿宋_GB2312" w:eastAsia="仿宋_GB2312" w:cs="仿宋_GB2312"/>
          <w:bCs/>
          <w:kern w:val="0"/>
          <w:sz w:val="32"/>
          <w:szCs w:val="32"/>
          <w:highlight w:val="none"/>
        </w:rPr>
        <w:t xml:space="preserve"> 年相比，财政拨款支出</w:t>
      </w:r>
      <w:r>
        <w:rPr>
          <w:rFonts w:hint="eastAsia" w:ascii="仿宋_GB2312" w:eastAsia="仿宋_GB2312" w:cs="仿宋_GB2312"/>
          <w:bCs/>
          <w:kern w:val="0"/>
          <w:sz w:val="32"/>
          <w:szCs w:val="32"/>
          <w:highlight w:val="none"/>
          <w:lang w:eastAsia="zh-CN"/>
        </w:rPr>
        <w:t>减少</w:t>
      </w:r>
      <w:r>
        <w:rPr>
          <w:rFonts w:hint="eastAsia" w:ascii="仿宋_GB2312" w:eastAsia="仿宋_GB2312" w:cs="仿宋_GB2312"/>
          <w:bCs/>
          <w:kern w:val="0"/>
          <w:sz w:val="32"/>
          <w:szCs w:val="32"/>
          <w:highlight w:val="none"/>
          <w:lang w:val="en-US" w:eastAsia="zh-CN"/>
        </w:rPr>
        <w:t>1939.16</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下降</w:t>
      </w:r>
      <w:r>
        <w:rPr>
          <w:rFonts w:hint="eastAsia" w:ascii="仿宋_GB2312" w:eastAsia="仿宋_GB2312" w:cs="仿宋_GB2312"/>
          <w:bCs/>
          <w:kern w:val="0"/>
          <w:sz w:val="32"/>
          <w:szCs w:val="32"/>
          <w:lang w:val="en-US" w:eastAsia="zh-CN"/>
        </w:rPr>
        <w:t>35.77</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（二）财政拨款支出决算结构情况（根据公开表格作表述）</w:t>
      </w:r>
    </w:p>
    <w:p>
      <w:pPr>
        <w:autoSpaceDE w:val="0"/>
        <w:autoSpaceDN w:val="0"/>
        <w:adjustRightInd w:val="0"/>
        <w:spacing w:line="560" w:lineRule="exact"/>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20</w:t>
      </w:r>
      <w:r>
        <w:rPr>
          <w:rFonts w:hint="eastAsia" w:ascii="仿宋_GB2312" w:eastAsia="仿宋_GB2312" w:cs="仿宋_GB2312"/>
          <w:bCs/>
          <w:kern w:val="0"/>
          <w:sz w:val="32"/>
          <w:szCs w:val="32"/>
          <w:lang w:val="en-US" w:eastAsia="zh-CN"/>
        </w:rPr>
        <w:t>20</w:t>
      </w:r>
      <w:r>
        <w:rPr>
          <w:rFonts w:hint="eastAsia" w:ascii="仿宋_GB2312" w:eastAsia="仿宋_GB2312" w:cs="仿宋_GB2312"/>
          <w:bCs/>
          <w:kern w:val="0"/>
          <w:sz w:val="32"/>
          <w:szCs w:val="32"/>
        </w:rPr>
        <w:t xml:space="preserve"> 年度财政拨款支出</w:t>
      </w:r>
      <w:r>
        <w:rPr>
          <w:rFonts w:hint="eastAsia" w:ascii="仿宋_GB2312" w:eastAsia="仿宋_GB2312" w:cs="仿宋_GB2312"/>
          <w:bCs/>
          <w:kern w:val="0"/>
          <w:sz w:val="32"/>
          <w:szCs w:val="32"/>
          <w:lang w:val="en-US" w:eastAsia="zh-CN"/>
        </w:rPr>
        <w:t>3481.18</w:t>
      </w:r>
      <w:r>
        <w:rPr>
          <w:rFonts w:hint="eastAsia" w:ascii="仿宋_GB2312" w:eastAsia="仿宋_GB2312" w:cs="仿宋_GB2312"/>
          <w:bCs/>
          <w:kern w:val="0"/>
          <w:sz w:val="32"/>
          <w:szCs w:val="32"/>
        </w:rPr>
        <w:t>万元，主要用于以下方面：社会保障和就业（类）支出</w:t>
      </w:r>
      <w:r>
        <w:rPr>
          <w:rFonts w:hint="eastAsia" w:ascii="仿宋_GB2312" w:eastAsia="仿宋_GB2312" w:cs="仿宋_GB2312"/>
          <w:bCs/>
          <w:kern w:val="0"/>
          <w:sz w:val="32"/>
          <w:szCs w:val="32"/>
          <w:lang w:val="en-US" w:eastAsia="zh-CN"/>
        </w:rPr>
        <w:t>3325.92</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97.28</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卫生健康支出</w:t>
      </w:r>
      <w:r>
        <w:rPr>
          <w:rFonts w:hint="eastAsia" w:ascii="仿宋_GB2312" w:eastAsia="仿宋_GB2312" w:cs="仿宋_GB2312"/>
          <w:bCs/>
          <w:kern w:val="0"/>
          <w:sz w:val="32"/>
          <w:szCs w:val="32"/>
          <w:lang w:val="en-US" w:eastAsia="zh-CN"/>
        </w:rPr>
        <w:t>48.51</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1.42</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r>
        <w:rPr>
          <w:rFonts w:ascii="仿宋_GB2312" w:eastAsia="仿宋_GB2312" w:cs="仿宋_GB2312"/>
          <w:bCs/>
          <w:kern w:val="0"/>
          <w:sz w:val="32"/>
          <w:szCs w:val="32"/>
        </w:rPr>
        <w:t xml:space="preserve"> </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val="en-US" w:eastAsia="zh-CN"/>
        </w:rPr>
        <w:t>44.38</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1.30</w:t>
      </w:r>
      <w:r>
        <w:rPr>
          <w:rFonts w:ascii="仿宋_GB2312" w:eastAsia="仿宋_GB2312" w:cs="仿宋_GB2312"/>
          <w:bCs/>
          <w:kern w:val="0"/>
          <w:sz w:val="32"/>
          <w:szCs w:val="32"/>
        </w:rPr>
        <w:t>%</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eastAsia="zh-CN"/>
        </w:rPr>
        <w:t>20</w:t>
      </w:r>
      <w:r>
        <w:rPr>
          <w:rFonts w:hint="eastAsia" w:ascii="仿宋_GB2312" w:eastAsia="仿宋_GB2312" w:cs="仿宋_GB2312"/>
          <w:bCs/>
          <w:kern w:val="0"/>
          <w:sz w:val="32"/>
          <w:szCs w:val="32"/>
          <w:lang w:val="en-US" w:eastAsia="zh-CN"/>
        </w:rPr>
        <w:t>20</w:t>
      </w:r>
      <w:r>
        <w:rPr>
          <w:rFonts w:hint="eastAsia" w:ascii="仿宋_GB2312" w:eastAsia="仿宋_GB2312" w:cs="仿宋_GB2312"/>
          <w:bCs/>
          <w:kern w:val="0"/>
          <w:sz w:val="32"/>
          <w:szCs w:val="32"/>
        </w:rPr>
        <w:t xml:space="preserve"> 年度财政拨款支出年初预算为</w:t>
      </w:r>
      <w:r>
        <w:rPr>
          <w:rFonts w:hint="eastAsia" w:ascii="仿宋_GB2312" w:eastAsia="仿宋_GB2312" w:cs="仿宋_GB2312"/>
          <w:bCs/>
          <w:kern w:val="0"/>
          <w:sz w:val="32"/>
          <w:szCs w:val="32"/>
          <w:lang w:val="en-US" w:eastAsia="zh-CN"/>
        </w:rPr>
        <w:t>3166.97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3418.81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107.95</w:t>
      </w:r>
      <w:r>
        <w:rPr>
          <w:rFonts w:hint="eastAsia" w:ascii="仿宋_GB2312" w:eastAsia="仿宋_GB2312" w:cs="仿宋_GB2312"/>
          <w:bCs/>
          <w:kern w:val="0"/>
          <w:sz w:val="32"/>
          <w:szCs w:val="32"/>
        </w:rPr>
        <w:t>%。决算数大于预算数的主要原因：一是年中追加安排财政拨款支出预算，涉及项目有残疾人康复专项补助经费</w:t>
      </w:r>
      <w:r>
        <w:rPr>
          <w:rFonts w:hint="eastAsia" w:ascii="仿宋_GB2312" w:eastAsia="仿宋_GB2312" w:cs="仿宋_GB2312"/>
          <w:bCs/>
          <w:kern w:val="0"/>
          <w:sz w:val="32"/>
          <w:szCs w:val="32"/>
          <w:lang w:eastAsia="zh-CN"/>
        </w:rPr>
        <w:t>、自治区</w:t>
      </w:r>
      <w:r>
        <w:rPr>
          <w:rFonts w:hint="eastAsia" w:ascii="仿宋_GB2312" w:eastAsia="仿宋_GB2312" w:cs="仿宋_GB2312"/>
          <w:bCs/>
          <w:kern w:val="0"/>
          <w:sz w:val="32"/>
          <w:szCs w:val="32"/>
        </w:rPr>
        <w:t>残疾人体育补助经费</w:t>
      </w:r>
      <w:r>
        <w:rPr>
          <w:rFonts w:hint="eastAsia" w:ascii="仿宋_GB2312" w:eastAsia="仿宋_GB2312" w:cs="仿宋_GB2312"/>
          <w:bCs/>
          <w:kern w:val="0"/>
          <w:sz w:val="32"/>
          <w:szCs w:val="32"/>
          <w:lang w:eastAsia="zh-CN"/>
        </w:rPr>
        <w:t>和自治区专委补贴</w:t>
      </w:r>
      <w:r>
        <w:rPr>
          <w:rFonts w:hint="eastAsia" w:ascii="仿宋_GB2312" w:eastAsia="仿宋_GB2312" w:cs="仿宋_GB2312"/>
          <w:bCs/>
          <w:kern w:val="0"/>
          <w:sz w:val="32"/>
          <w:szCs w:val="32"/>
        </w:rPr>
        <w:t xml:space="preserve">；二是部分支出按规定，通过使用以前年度财政拨款结转资金解决。其中：（根据公开表格作表述，有则表述） </w:t>
      </w:r>
    </w:p>
    <w:p>
      <w:pPr>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1、社会保障和就业支出（类）行政事业单位离退休（款）归口管理的行政单位离退休（项）年初预算为</w:t>
      </w:r>
      <w:r>
        <w:rPr>
          <w:rFonts w:hint="eastAsia" w:ascii="仿宋_GB2312" w:eastAsia="仿宋_GB2312" w:cs="仿宋_GB2312"/>
          <w:bCs/>
          <w:kern w:val="0"/>
          <w:sz w:val="32"/>
          <w:szCs w:val="32"/>
          <w:lang w:val="en-US" w:eastAsia="zh-CN"/>
        </w:rPr>
        <w:t>15.31</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15.31</w:t>
      </w:r>
      <w:r>
        <w:rPr>
          <w:rFonts w:hint="eastAsia" w:ascii="仿宋_GB2312" w:eastAsia="仿宋_GB2312" w:cs="仿宋_GB2312"/>
          <w:bCs/>
          <w:kern w:val="0"/>
          <w:sz w:val="32"/>
          <w:szCs w:val="32"/>
        </w:rPr>
        <w:t>万元，完成年初预算</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w:t>
      </w:r>
    </w:p>
    <w:p>
      <w:pPr>
        <w:spacing w:line="560" w:lineRule="exact"/>
        <w:ind w:firstLine="640" w:firstLineChars="200"/>
        <w:rPr>
          <w:rFonts w:hint="eastAsia" w:ascii="仿宋_GB2312" w:eastAsia="仿宋_GB2312" w:cs="仿宋_GB2312"/>
          <w:bCs/>
          <w:kern w:val="0"/>
          <w:sz w:val="32"/>
          <w:szCs w:val="32"/>
        </w:rPr>
      </w:pPr>
      <w:r>
        <w:rPr>
          <w:rFonts w:hint="eastAsia" w:ascii="仿宋_GB2312" w:eastAsia="仿宋_GB2312" w:cs="仿宋_GB2312"/>
          <w:bCs/>
          <w:kern w:val="0"/>
          <w:sz w:val="32"/>
          <w:szCs w:val="32"/>
        </w:rPr>
        <w:t>2、社会保障和就业支出（类）行政事业单位离退休（款）事业单位离退休（项）年初预算为</w:t>
      </w:r>
      <w:r>
        <w:rPr>
          <w:rFonts w:hint="eastAsia" w:ascii="仿宋_GB2312" w:eastAsia="仿宋_GB2312" w:cs="仿宋_GB2312"/>
          <w:bCs/>
          <w:kern w:val="0"/>
          <w:sz w:val="32"/>
          <w:szCs w:val="32"/>
          <w:lang w:val="en-US" w:eastAsia="zh-CN"/>
        </w:rPr>
        <w:t>2.07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1.97</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完成年初预算</w:t>
      </w:r>
      <w:r>
        <w:rPr>
          <w:rFonts w:hint="eastAsia" w:ascii="仿宋_GB2312" w:eastAsia="仿宋_GB2312" w:cs="仿宋_GB2312"/>
          <w:bCs/>
          <w:kern w:val="0"/>
          <w:sz w:val="32"/>
          <w:szCs w:val="32"/>
          <w:lang w:val="en-US" w:eastAsia="zh-CN"/>
        </w:rPr>
        <w:t>95.17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决算数小于预算数的主要原因是：在职人员工资增长，职业年金经费增加，2020年在职人员去世一人，职业年金经费减少，增减抵消总体减少。</w:t>
      </w:r>
    </w:p>
    <w:p>
      <w:pPr>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3、社会保障和就业支出（类）行政事业单位离退休（款）机关事业单位基本养老保险缴费支出（项）年初预算为</w:t>
      </w:r>
      <w:r>
        <w:rPr>
          <w:rFonts w:hint="eastAsia" w:ascii="仿宋_GB2312" w:eastAsia="仿宋_GB2312" w:cs="仿宋_GB2312"/>
          <w:bCs/>
          <w:kern w:val="0"/>
          <w:sz w:val="32"/>
          <w:szCs w:val="32"/>
          <w:lang w:val="en-US" w:eastAsia="zh-CN"/>
        </w:rPr>
        <w:t>51.14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48.45</w:t>
      </w:r>
      <w:r>
        <w:rPr>
          <w:rFonts w:hint="eastAsia" w:ascii="仿宋_GB2312" w:eastAsia="仿宋_GB2312" w:cs="仿宋_GB2312"/>
          <w:bCs/>
          <w:kern w:val="0"/>
          <w:sz w:val="32"/>
          <w:szCs w:val="32"/>
        </w:rPr>
        <w:t>万元，完成年初预算</w:t>
      </w:r>
      <w:r>
        <w:rPr>
          <w:rFonts w:hint="eastAsia" w:ascii="仿宋_GB2312" w:eastAsia="仿宋_GB2312" w:cs="仿宋_GB2312"/>
          <w:bCs/>
          <w:kern w:val="0"/>
          <w:sz w:val="32"/>
          <w:szCs w:val="32"/>
          <w:lang w:val="en-US" w:eastAsia="zh-CN"/>
        </w:rPr>
        <w:t>94.47</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决算数小于预算数的主要原因是：</w:t>
      </w:r>
      <w:r>
        <w:rPr>
          <w:rFonts w:hint="eastAsia" w:ascii="仿宋_GB2312" w:eastAsia="仿宋_GB2312" w:cs="仿宋_GB2312"/>
          <w:bCs/>
          <w:kern w:val="0"/>
          <w:sz w:val="32"/>
          <w:szCs w:val="32"/>
          <w:lang w:eastAsia="zh-CN"/>
        </w:rPr>
        <w:t>年中退休一人</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p>
    <w:p>
      <w:pPr>
        <w:autoSpaceDE w:val="0"/>
        <w:autoSpaceDN w:val="0"/>
        <w:adjustRightInd w:val="0"/>
        <w:spacing w:line="560" w:lineRule="exact"/>
        <w:ind w:firstLine="640" w:firstLineChars="200"/>
        <w:jc w:val="left"/>
        <w:rPr>
          <w:rFonts w:hint="default"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4、</w:t>
      </w:r>
      <w:r>
        <w:rPr>
          <w:rFonts w:hint="eastAsia" w:ascii="仿宋_GB2312" w:eastAsia="仿宋_GB2312" w:cs="仿宋_GB2312"/>
          <w:bCs/>
          <w:kern w:val="0"/>
          <w:sz w:val="32"/>
          <w:szCs w:val="32"/>
        </w:rPr>
        <w:t>社会保障和就业支出（类）行政事业单位离退休（款）机关事业单位职业年金（项）年初预算为</w:t>
      </w:r>
      <w:r>
        <w:rPr>
          <w:rFonts w:hint="eastAsia" w:ascii="仿宋_GB2312" w:eastAsia="仿宋_GB2312" w:cs="仿宋_GB2312"/>
          <w:bCs/>
          <w:kern w:val="0"/>
          <w:sz w:val="32"/>
          <w:szCs w:val="32"/>
          <w:lang w:val="en-US" w:eastAsia="zh-CN"/>
        </w:rPr>
        <w:t>25.57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28.23</w:t>
      </w:r>
      <w:r>
        <w:rPr>
          <w:rFonts w:hint="eastAsia" w:ascii="仿宋_GB2312" w:eastAsia="仿宋_GB2312" w:cs="仿宋_GB2312"/>
          <w:bCs/>
          <w:kern w:val="0"/>
          <w:sz w:val="32"/>
          <w:szCs w:val="32"/>
        </w:rPr>
        <w:t>万元，完成年初预算</w:t>
      </w:r>
      <w:r>
        <w:rPr>
          <w:rFonts w:hint="eastAsia" w:ascii="仿宋_GB2312" w:eastAsia="仿宋_GB2312" w:cs="仿宋_GB2312"/>
          <w:bCs/>
          <w:kern w:val="0"/>
          <w:sz w:val="32"/>
          <w:szCs w:val="32"/>
          <w:lang w:val="en-US" w:eastAsia="zh-CN"/>
        </w:rPr>
        <w:t>91.04</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决算数小于预算数的主要原因是：</w:t>
      </w:r>
      <w:r>
        <w:rPr>
          <w:rFonts w:hint="eastAsia" w:ascii="仿宋_GB2312" w:eastAsia="仿宋_GB2312" w:cs="仿宋_GB2312"/>
          <w:bCs/>
          <w:kern w:val="0"/>
          <w:sz w:val="32"/>
          <w:szCs w:val="32"/>
          <w:lang w:eastAsia="zh-CN"/>
        </w:rPr>
        <w:t>年中退休一人。</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val="en-US" w:eastAsia="zh-CN"/>
        </w:rPr>
        <w:t>5</w:t>
      </w:r>
      <w:r>
        <w:rPr>
          <w:rFonts w:hint="eastAsia" w:ascii="仿宋_GB2312" w:eastAsia="仿宋_GB2312" w:cs="仿宋_GB2312"/>
          <w:bCs/>
          <w:kern w:val="0"/>
          <w:sz w:val="32"/>
          <w:szCs w:val="32"/>
        </w:rPr>
        <w:t>、社会保障和就业支出（类）残疾人事业（款）行政运行（项）年初预算为</w:t>
      </w:r>
      <w:r>
        <w:rPr>
          <w:rFonts w:hint="eastAsia" w:ascii="仿宋_GB2312" w:eastAsia="仿宋_GB2312" w:cs="仿宋_GB2312"/>
          <w:bCs/>
          <w:kern w:val="0"/>
          <w:sz w:val="32"/>
          <w:szCs w:val="32"/>
          <w:lang w:val="en-US" w:eastAsia="zh-CN"/>
        </w:rPr>
        <w:t>217.43</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287.64</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130.92</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。决算数大于预算数的主要原因是年中发放机关在职人员绩效奖励、物业补贴及调职调级产生的工资增资部分。</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lang w:val="en-US" w:eastAsia="zh-CN"/>
        </w:rPr>
        <w:t>6</w:t>
      </w:r>
      <w:r>
        <w:rPr>
          <w:rFonts w:hint="eastAsia" w:ascii="仿宋_GB2312" w:eastAsia="仿宋_GB2312" w:cs="仿宋_GB2312"/>
          <w:bCs/>
          <w:kern w:val="0"/>
          <w:sz w:val="32"/>
          <w:szCs w:val="32"/>
        </w:rPr>
        <w:t>、社会保障和就业支出（类）残疾人事业（款）残疾人康复（项）年初预算为</w:t>
      </w:r>
      <w:r>
        <w:rPr>
          <w:rFonts w:hint="eastAsia" w:ascii="仿宋_GB2312" w:eastAsia="仿宋_GB2312" w:cs="仿宋_GB2312"/>
          <w:bCs/>
          <w:kern w:val="0"/>
          <w:sz w:val="32"/>
          <w:szCs w:val="32"/>
          <w:lang w:val="en-US" w:eastAsia="zh-CN"/>
        </w:rPr>
        <w:t>834.89</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939.26</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112.5</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。决算数大于预算数的主要原因有：</w:t>
      </w:r>
      <w:r>
        <w:rPr>
          <w:rFonts w:hint="eastAsia" w:ascii="仿宋_GB2312" w:eastAsia="仿宋_GB2312" w:cs="仿宋_GB2312"/>
          <w:bCs/>
          <w:kern w:val="0"/>
          <w:sz w:val="32"/>
          <w:szCs w:val="32"/>
          <w:lang w:eastAsia="zh-CN"/>
        </w:rPr>
        <w:t>年中收到自治区追加的康复经费。</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val="en-US" w:eastAsia="zh-CN"/>
        </w:rPr>
        <w:t>7</w:t>
      </w:r>
      <w:r>
        <w:rPr>
          <w:rFonts w:hint="eastAsia" w:ascii="仿宋_GB2312" w:eastAsia="仿宋_GB2312" w:cs="仿宋_GB2312"/>
          <w:bCs/>
          <w:kern w:val="0"/>
          <w:sz w:val="32"/>
          <w:szCs w:val="32"/>
        </w:rPr>
        <w:t>、社会保障和就业支出（类）残疾人事业（款）残疾人就业和扶贫（项）年初预算为</w:t>
      </w:r>
      <w:r>
        <w:rPr>
          <w:rFonts w:hint="eastAsia" w:ascii="仿宋_GB2312" w:eastAsia="仿宋_GB2312" w:cs="仿宋_GB2312"/>
          <w:bCs/>
          <w:kern w:val="0"/>
          <w:sz w:val="32"/>
          <w:szCs w:val="32"/>
          <w:lang w:val="en-US" w:eastAsia="zh-CN"/>
        </w:rPr>
        <w:t>187.67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180.62</w:t>
      </w:r>
      <w:r>
        <w:rPr>
          <w:rFonts w:hint="eastAsia" w:ascii="仿宋_GB2312" w:eastAsia="仿宋_GB2312" w:cs="仿宋_GB2312"/>
          <w:bCs/>
          <w:kern w:val="0"/>
          <w:sz w:val="32"/>
          <w:szCs w:val="32"/>
        </w:rPr>
        <w:t>万元。决算数</w:t>
      </w:r>
      <w:r>
        <w:rPr>
          <w:rFonts w:hint="eastAsia" w:ascii="仿宋_GB2312" w:eastAsia="仿宋_GB2312" w:cs="仿宋_GB2312"/>
          <w:bCs/>
          <w:kern w:val="0"/>
          <w:sz w:val="32"/>
          <w:szCs w:val="32"/>
          <w:lang w:eastAsia="zh-CN"/>
        </w:rPr>
        <w:t>小</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农村残疾人重度医疗保险</w:t>
      </w:r>
      <w:r>
        <w:rPr>
          <w:rFonts w:hint="eastAsia" w:ascii="仿宋_GB2312" w:eastAsia="仿宋_GB2312" w:cs="仿宋_GB2312"/>
          <w:bCs/>
          <w:kern w:val="0"/>
          <w:sz w:val="32"/>
          <w:szCs w:val="32"/>
          <w:lang w:val="en-US" w:eastAsia="zh-CN"/>
        </w:rPr>
        <w:t>25万预算指标划转市医保局</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8</w:t>
      </w:r>
      <w:r>
        <w:rPr>
          <w:rFonts w:hint="eastAsia" w:ascii="仿宋_GB2312" w:eastAsia="仿宋_GB2312" w:cs="仿宋_GB2312"/>
          <w:bCs/>
          <w:kern w:val="0"/>
          <w:sz w:val="32"/>
          <w:szCs w:val="32"/>
        </w:rPr>
        <w:t>、社会保障和就业支出（类）残疾人事业（款）残疾人体育（项）年初预算为</w:t>
      </w:r>
      <w:r>
        <w:rPr>
          <w:rFonts w:hint="eastAsia" w:ascii="仿宋_GB2312" w:eastAsia="仿宋_GB2312" w:cs="仿宋_GB2312"/>
          <w:bCs/>
          <w:kern w:val="0"/>
          <w:sz w:val="32"/>
          <w:szCs w:val="32"/>
          <w:lang w:val="en-US" w:eastAsia="zh-CN"/>
        </w:rPr>
        <w:t>176.34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318.54</w:t>
      </w:r>
      <w:r>
        <w:rPr>
          <w:rFonts w:hint="eastAsia" w:ascii="仿宋_GB2312" w:eastAsia="仿宋_GB2312" w:cs="仿宋_GB2312"/>
          <w:bCs/>
          <w:kern w:val="0"/>
          <w:sz w:val="32"/>
          <w:szCs w:val="32"/>
        </w:rPr>
        <w:t>万元。决算数大于预算数的主要原因有：是年中自治区下达残疾人体育专项经费</w:t>
      </w:r>
      <w:r>
        <w:rPr>
          <w:rFonts w:hint="eastAsia" w:ascii="仿宋_GB2312" w:eastAsia="仿宋_GB2312" w:cs="仿宋_GB2312"/>
          <w:bCs/>
          <w:kern w:val="0"/>
          <w:sz w:val="32"/>
          <w:szCs w:val="32"/>
          <w:lang w:val="en-US" w:eastAsia="zh-CN"/>
        </w:rPr>
        <w:t>341.35</w:t>
      </w:r>
      <w:r>
        <w:rPr>
          <w:rFonts w:hint="eastAsia" w:ascii="仿宋_GB2312" w:eastAsia="仿宋_GB2312" w:cs="仿宋_GB2312"/>
          <w:bCs/>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、社会保障和就业支出（类）残疾人事业（款）其他残疾人事业支出（项）年初预算为</w:t>
      </w:r>
      <w:r>
        <w:rPr>
          <w:rFonts w:hint="eastAsia" w:ascii="仿宋_GB2312" w:eastAsia="仿宋_GB2312" w:cs="仿宋_GB2312"/>
          <w:bCs/>
          <w:kern w:val="0"/>
          <w:sz w:val="32"/>
          <w:szCs w:val="32"/>
          <w:lang w:val="en-US" w:eastAsia="zh-CN"/>
        </w:rPr>
        <w:t>1581.64</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1513.81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95.71</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。决算数小于预算数的主要原因有：一是柳州市残疾</w:t>
      </w:r>
      <w:r>
        <w:rPr>
          <w:rFonts w:hint="eastAsia" w:ascii="仿宋_GB2312" w:eastAsia="仿宋_GB2312" w:cs="仿宋_GB2312"/>
          <w:bCs/>
          <w:kern w:val="0"/>
          <w:sz w:val="32"/>
          <w:szCs w:val="32"/>
          <w:lang w:eastAsia="zh-CN"/>
        </w:rPr>
        <w:t>儿童专业用房改造</w:t>
      </w:r>
      <w:r>
        <w:rPr>
          <w:rFonts w:hint="eastAsia" w:ascii="仿宋_GB2312" w:eastAsia="仿宋_GB2312" w:cs="仿宋_GB2312"/>
          <w:bCs/>
          <w:kern w:val="0"/>
          <w:sz w:val="32"/>
          <w:szCs w:val="32"/>
        </w:rPr>
        <w:t>工程未竣工验收，</w:t>
      </w:r>
      <w:r>
        <w:rPr>
          <w:rFonts w:hint="eastAsia" w:ascii="仿宋_GB2312" w:eastAsia="仿宋_GB2312" w:cs="仿宋_GB2312"/>
          <w:bCs/>
          <w:kern w:val="0"/>
          <w:sz w:val="32"/>
          <w:szCs w:val="32"/>
          <w:lang w:eastAsia="zh-CN"/>
        </w:rPr>
        <w:t>尾款</w:t>
      </w:r>
      <w:r>
        <w:rPr>
          <w:rFonts w:hint="eastAsia" w:ascii="仿宋_GB2312" w:eastAsia="仿宋_GB2312" w:cs="仿宋_GB2312"/>
          <w:bCs/>
          <w:kern w:val="0"/>
          <w:sz w:val="32"/>
          <w:szCs w:val="32"/>
        </w:rPr>
        <w:t>未支付。二是各项政府采购、政府购买服务中标成交价与预算价差异形成结余。三是部分项目跨年度实施形成项目尾款未支付。</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val="en-US" w:eastAsia="zh-CN"/>
        </w:rPr>
        <w:t>10</w:t>
      </w:r>
      <w:r>
        <w:rPr>
          <w:rFonts w:hint="eastAsia" w:ascii="仿宋_GB2312" w:eastAsia="仿宋_GB2312" w:cs="仿宋_GB2312"/>
          <w:bCs/>
          <w:kern w:val="0"/>
          <w:sz w:val="32"/>
          <w:szCs w:val="32"/>
        </w:rPr>
        <w:t>、医疗卫生与计划生育支出（类）行政事业单位医疗（款）行政单位医疗（项）年初预算为</w:t>
      </w:r>
      <w:r>
        <w:rPr>
          <w:rFonts w:hint="eastAsia" w:ascii="仿宋_GB2312" w:eastAsia="仿宋_GB2312" w:cs="仿宋_GB2312"/>
          <w:bCs/>
          <w:kern w:val="0"/>
          <w:sz w:val="32"/>
          <w:szCs w:val="32"/>
          <w:lang w:val="en-US" w:eastAsia="zh-CN"/>
        </w:rPr>
        <w:t>14.01</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14.83</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105.85</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w:t>
      </w:r>
      <w:r>
        <w:rPr>
          <w:rFonts w:hint="eastAsia" w:ascii="仿宋_GB2312" w:eastAsia="仿宋_GB2312" w:cs="仿宋_GB2312"/>
          <w:bCs/>
          <w:kern w:val="0"/>
          <w:sz w:val="32"/>
          <w:szCs w:val="32"/>
          <w:lang w:eastAsia="zh-CN"/>
        </w:rPr>
        <w:t>大</w:t>
      </w:r>
      <w:r>
        <w:rPr>
          <w:rFonts w:hint="eastAsia" w:ascii="仿宋_GB2312" w:eastAsia="仿宋_GB2312" w:cs="仿宋_GB2312"/>
          <w:bCs/>
          <w:kern w:val="0"/>
          <w:sz w:val="32"/>
          <w:szCs w:val="32"/>
        </w:rPr>
        <w:t>于预算数的主要原因是</w:t>
      </w:r>
      <w:r>
        <w:rPr>
          <w:rFonts w:hint="eastAsia" w:ascii="仿宋_GB2312" w:eastAsia="仿宋_GB2312" w:cs="仿宋_GB2312"/>
          <w:bCs/>
          <w:kern w:val="0"/>
          <w:sz w:val="32"/>
          <w:szCs w:val="32"/>
          <w:lang w:eastAsia="zh-CN"/>
        </w:rPr>
        <w:t>在职人员医疗基数调增</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、医疗卫生与计划生育支出（类）行政事业单位医疗（款）事业单位医疗（项）年初预算为</w:t>
      </w:r>
      <w:r>
        <w:rPr>
          <w:rFonts w:hint="eastAsia" w:ascii="仿宋_GB2312" w:eastAsia="仿宋_GB2312" w:cs="仿宋_GB2312"/>
          <w:bCs/>
          <w:kern w:val="0"/>
          <w:sz w:val="32"/>
          <w:szCs w:val="32"/>
          <w:lang w:val="en-US" w:eastAsia="zh-CN"/>
        </w:rPr>
        <w:t>10.07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12.79</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11</w:t>
      </w:r>
      <w:r>
        <w:rPr>
          <w:rFonts w:hint="eastAsia" w:ascii="仿宋_GB2312" w:eastAsia="仿宋_GB2312" w:cs="仿宋_GB2312"/>
          <w:bCs/>
          <w:kern w:val="0"/>
          <w:sz w:val="32"/>
          <w:szCs w:val="32"/>
        </w:rPr>
        <w:t>3.95</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。决算数大于预算数的主要原因是两个二层事业单位在职人员社保缴费基数调增。</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1</w:t>
      </w: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、医疗卫生与计划生育支出（类）行政事业单位医疗（款）</w:t>
      </w:r>
      <w:r>
        <w:rPr>
          <w:rFonts w:hint="eastAsia" w:ascii="仿宋_GB2312" w:eastAsia="仿宋_GB2312" w:cs="仿宋_GB2312"/>
          <w:bCs/>
          <w:kern w:val="0"/>
          <w:sz w:val="32"/>
          <w:szCs w:val="32"/>
          <w:lang w:eastAsia="zh-CN"/>
        </w:rPr>
        <w:t>公务员医疗补助</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16.48</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20.91</w:t>
      </w:r>
      <w:r>
        <w:rPr>
          <w:rFonts w:hint="eastAsia" w:ascii="仿宋_GB2312" w:eastAsia="仿宋_GB2312" w:cs="仿宋_GB2312"/>
          <w:bCs/>
          <w:kern w:val="0"/>
          <w:sz w:val="32"/>
          <w:szCs w:val="32"/>
        </w:rPr>
        <w:t>万元，完成年初预算的</w:t>
      </w:r>
      <w:r>
        <w:rPr>
          <w:rFonts w:hint="eastAsia" w:ascii="仿宋_GB2312" w:eastAsia="仿宋_GB2312" w:cs="仿宋_GB2312"/>
          <w:bCs/>
          <w:kern w:val="0"/>
          <w:sz w:val="32"/>
          <w:szCs w:val="32"/>
          <w:lang w:val="en-US" w:eastAsia="zh-CN"/>
        </w:rPr>
        <w:t>126.88</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w:t>
      </w:r>
      <w:r>
        <w:rPr>
          <w:rFonts w:hint="eastAsia" w:ascii="仿宋_GB2312" w:eastAsia="仿宋_GB2312" w:cs="仿宋_GB2312"/>
          <w:bCs/>
          <w:kern w:val="0"/>
          <w:sz w:val="32"/>
          <w:szCs w:val="32"/>
          <w:lang w:eastAsia="zh-CN"/>
        </w:rPr>
        <w:t>具体核算应缴额大于预算下达数。</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1</w:t>
      </w:r>
      <w:r>
        <w:rPr>
          <w:rFonts w:hint="eastAsia" w:ascii="仿宋_GB2312" w:eastAsia="仿宋_GB2312" w:cs="仿宋_GB2312"/>
          <w:bCs/>
          <w:kern w:val="0"/>
          <w:sz w:val="32"/>
          <w:szCs w:val="32"/>
          <w:lang w:val="en-US" w:eastAsia="zh-CN"/>
        </w:rPr>
        <w:t>3</w:t>
      </w:r>
      <w:r>
        <w:rPr>
          <w:rFonts w:hint="eastAsia" w:ascii="仿宋_GB2312" w:eastAsia="仿宋_GB2312" w:cs="仿宋_GB2312"/>
          <w:bCs/>
          <w:kern w:val="0"/>
          <w:sz w:val="32"/>
          <w:szCs w:val="32"/>
        </w:rPr>
        <w:t>、住房保障支出（类）住房改革支出（款）住房公积金（项）年初预算为</w:t>
      </w:r>
      <w:r>
        <w:rPr>
          <w:rFonts w:hint="eastAsia" w:ascii="仿宋_GB2312" w:eastAsia="仿宋_GB2312" w:cs="仿宋_GB2312"/>
          <w:bCs/>
          <w:kern w:val="0"/>
          <w:sz w:val="32"/>
          <w:szCs w:val="32"/>
          <w:lang w:val="en-US" w:eastAsia="zh-CN"/>
        </w:rPr>
        <w:t>38.35</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44</w:t>
      </w:r>
      <w:r>
        <w:rPr>
          <w:rFonts w:hint="eastAsia" w:ascii="仿宋_GB2312" w:eastAsia="仿宋_GB2312" w:cs="仿宋_GB2312"/>
          <w:bCs/>
          <w:kern w:val="0"/>
          <w:sz w:val="32"/>
          <w:szCs w:val="32"/>
        </w:rPr>
        <w:t>万元，完成年初预算的</w:t>
      </w:r>
      <w:r>
        <w:rPr>
          <w:rFonts w:ascii="仿宋_GB2312" w:eastAsia="仿宋_GB2312" w:cs="仿宋_GB2312"/>
          <w:bCs/>
          <w:kern w:val="0"/>
          <w:sz w:val="32"/>
          <w:szCs w:val="32"/>
        </w:rPr>
        <w:t>102.5</w:t>
      </w:r>
      <w:r>
        <w:rPr>
          <w:rFonts w:hint="eastAsia" w:ascii="仿宋_GB2312" w:eastAsia="仿宋_GB2312" w:cs="仿宋_GB2312"/>
          <w:bCs/>
          <w:kern w:val="0"/>
          <w:sz w:val="32"/>
          <w:szCs w:val="32"/>
        </w:rPr>
        <w:t>2</w:t>
      </w:r>
      <w:r>
        <w:rPr>
          <w:rFonts w:ascii="仿宋_GB2312" w:eastAsia="仿宋_GB2312" w:cs="仿宋_GB2312"/>
          <w:bCs/>
          <w:kern w:val="0"/>
          <w:sz w:val="32"/>
          <w:szCs w:val="32"/>
        </w:rPr>
        <w:t>%</w:t>
      </w:r>
      <w:r>
        <w:rPr>
          <w:rFonts w:hint="eastAsia" w:ascii="仿宋_GB2312" w:eastAsia="仿宋_GB2312" w:cs="仿宋_GB2312"/>
          <w:bCs/>
          <w:kern w:val="0"/>
          <w:sz w:val="32"/>
          <w:szCs w:val="32"/>
        </w:rPr>
        <w:t>。决算数大于预算数的主要原因是在职人员公积金缴费基数增加。</w:t>
      </w:r>
    </w:p>
    <w:p>
      <w:pPr>
        <w:autoSpaceDE w:val="0"/>
        <w:autoSpaceDN w:val="0"/>
        <w:adjustRightInd w:val="0"/>
        <w:spacing w:line="560" w:lineRule="exact"/>
        <w:ind w:firstLine="640" w:firstLineChars="200"/>
        <w:jc w:val="left"/>
        <w:rPr>
          <w:rFonts w:hint="default"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14.</w:t>
      </w:r>
      <w:r>
        <w:rPr>
          <w:rFonts w:hint="eastAsia" w:ascii="仿宋_GB2312" w:eastAsia="仿宋_GB2312" w:cs="仿宋_GB2312"/>
          <w:bCs/>
          <w:kern w:val="0"/>
          <w:sz w:val="32"/>
          <w:szCs w:val="32"/>
        </w:rPr>
        <w:t>住房保障支出（类）住房改革支出（款）</w:t>
      </w:r>
      <w:r>
        <w:rPr>
          <w:rFonts w:hint="eastAsia" w:ascii="仿宋_GB2312" w:eastAsia="仿宋_GB2312" w:cs="仿宋_GB2312"/>
          <w:bCs/>
          <w:kern w:val="0"/>
          <w:sz w:val="32"/>
          <w:szCs w:val="32"/>
          <w:lang w:eastAsia="zh-CN"/>
        </w:rPr>
        <w:t>购房补贴</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0.38</w:t>
      </w:r>
      <w:r>
        <w:rPr>
          <w:rFonts w:hint="eastAsia" w:ascii="仿宋_GB2312" w:eastAsia="仿宋_GB2312" w:cs="仿宋_GB2312"/>
          <w:bCs/>
          <w:kern w:val="0"/>
          <w:sz w:val="32"/>
          <w:szCs w:val="32"/>
        </w:rPr>
        <w:t>万元。决算数大于预算数的主要原因是</w:t>
      </w:r>
      <w:r>
        <w:rPr>
          <w:rFonts w:hint="eastAsia" w:ascii="仿宋_GB2312" w:eastAsia="仿宋_GB2312" w:cs="仿宋_GB2312"/>
          <w:bCs/>
          <w:kern w:val="0"/>
          <w:sz w:val="32"/>
          <w:szCs w:val="32"/>
          <w:lang w:eastAsia="zh-CN"/>
        </w:rPr>
        <w:t>年中下达补贴</w:t>
      </w:r>
      <w:r>
        <w:rPr>
          <w:rFonts w:hint="eastAsia" w:ascii="仿宋_GB2312" w:eastAsia="仿宋_GB2312" w:cs="仿宋_GB2312"/>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
          <w:bCs w:val="0"/>
          <w:kern w:val="0"/>
          <w:sz w:val="32"/>
          <w:szCs w:val="32"/>
          <w:lang w:eastAsia="zh-CN"/>
        </w:rPr>
      </w:pPr>
      <w:r>
        <w:rPr>
          <w:rFonts w:hint="eastAsia" w:ascii="仿宋_GB2312" w:eastAsia="仿宋_GB2312" w:cs="仿宋_GB2312"/>
          <w:bCs/>
          <w:kern w:val="0"/>
          <w:sz w:val="32"/>
          <w:szCs w:val="32"/>
        </w:rPr>
        <w:t>六、</w:t>
      </w:r>
      <w:r>
        <w:rPr>
          <w:rFonts w:hint="eastAsia" w:ascii="仿宋_GB2312" w:eastAsia="仿宋_GB2312" w:cs="仿宋_GB2312"/>
          <w:b/>
          <w:bCs w:val="0"/>
          <w:kern w:val="0"/>
          <w:sz w:val="32"/>
          <w:szCs w:val="32"/>
          <w:lang w:eastAsia="zh-CN"/>
        </w:rPr>
        <w:t>20</w:t>
      </w:r>
      <w:r>
        <w:rPr>
          <w:rFonts w:hint="eastAsia" w:ascii="仿宋_GB2312" w:eastAsia="仿宋_GB2312" w:cs="仿宋_GB2312"/>
          <w:b/>
          <w:bCs w:val="0"/>
          <w:kern w:val="0"/>
          <w:sz w:val="32"/>
          <w:szCs w:val="32"/>
          <w:lang w:val="en-US" w:eastAsia="zh-CN"/>
        </w:rPr>
        <w:t>20</w:t>
      </w:r>
      <w:r>
        <w:rPr>
          <w:rFonts w:hint="eastAsia" w:ascii="仿宋_GB2312" w:eastAsia="仿宋_GB2312" w:cs="仿宋_GB2312"/>
          <w:b/>
          <w:bCs w:val="0"/>
          <w:kern w:val="0"/>
          <w:sz w:val="32"/>
          <w:szCs w:val="32"/>
        </w:rPr>
        <w:t>年度一般公共预算财政拨款基本支出决算情况</w:t>
      </w:r>
    </w:p>
    <w:p>
      <w:pPr>
        <w:autoSpaceDE w:val="0"/>
        <w:autoSpaceDN w:val="0"/>
        <w:adjustRightInd w:val="0"/>
        <w:spacing w:line="560" w:lineRule="exact"/>
        <w:ind w:firstLine="960" w:firstLineChars="300"/>
        <w:jc w:val="left"/>
        <w:rPr>
          <w:rFonts w:hint="eastAsia" w:ascii="仿宋_GB2312" w:eastAsia="仿宋_GB2312" w:cs="仿宋_GB2312"/>
          <w:b w:val="0"/>
          <w:bCs/>
          <w:kern w:val="0"/>
          <w:sz w:val="32"/>
          <w:szCs w:val="32"/>
        </w:rPr>
      </w:pPr>
      <w:r>
        <w:rPr>
          <w:rFonts w:hint="eastAsia" w:ascii="仿宋_GB2312" w:eastAsia="仿宋_GB2312" w:cs="仿宋_GB2312"/>
          <w:b w:val="0"/>
          <w:bCs/>
          <w:kern w:val="0"/>
          <w:sz w:val="32"/>
          <w:szCs w:val="32"/>
          <w:lang w:eastAsia="zh-CN"/>
        </w:rPr>
        <w:t>20</w:t>
      </w:r>
      <w:r>
        <w:rPr>
          <w:rFonts w:hint="eastAsia" w:ascii="仿宋_GB2312" w:eastAsia="仿宋_GB2312" w:cs="仿宋_GB2312"/>
          <w:b w:val="0"/>
          <w:bCs/>
          <w:kern w:val="0"/>
          <w:sz w:val="32"/>
          <w:szCs w:val="32"/>
          <w:lang w:val="en-US" w:eastAsia="zh-CN"/>
        </w:rPr>
        <w:t>20</w:t>
      </w:r>
      <w:r>
        <w:rPr>
          <w:rFonts w:hint="eastAsia" w:ascii="仿宋_GB2312" w:eastAsia="仿宋_GB2312" w:cs="仿宋_GB2312"/>
          <w:b w:val="0"/>
          <w:bCs/>
          <w:kern w:val="0"/>
          <w:sz w:val="32"/>
          <w:szCs w:val="32"/>
        </w:rPr>
        <w:t>年度财政拨款基本支出</w:t>
      </w:r>
      <w:r>
        <w:rPr>
          <w:rFonts w:hint="eastAsia" w:ascii="仿宋_GB2312" w:eastAsia="仿宋_GB2312" w:cs="仿宋_GB2312"/>
          <w:b w:val="0"/>
          <w:bCs/>
          <w:kern w:val="0"/>
          <w:sz w:val="32"/>
          <w:szCs w:val="32"/>
          <w:lang w:val="en-US" w:eastAsia="zh-CN"/>
        </w:rPr>
        <w:t>617.67</w:t>
      </w:r>
      <w:r>
        <w:rPr>
          <w:rFonts w:hint="eastAsia" w:ascii="仿宋_GB2312" w:eastAsia="仿宋_GB2312" w:cs="仿宋_GB2312"/>
          <w:b w:val="0"/>
          <w:bCs/>
          <w:kern w:val="0"/>
          <w:sz w:val="32"/>
          <w:szCs w:val="32"/>
        </w:rPr>
        <w:t>万元，其中：人员经费</w:t>
      </w:r>
      <w:r>
        <w:rPr>
          <w:rFonts w:hint="eastAsia" w:ascii="仿宋_GB2312" w:eastAsia="仿宋_GB2312" w:cs="仿宋_GB2312"/>
          <w:b w:val="0"/>
          <w:bCs/>
          <w:kern w:val="0"/>
          <w:sz w:val="32"/>
          <w:szCs w:val="32"/>
          <w:lang w:val="en-US" w:eastAsia="zh-CN"/>
        </w:rPr>
        <w:t>573.32</w:t>
      </w:r>
      <w:r>
        <w:rPr>
          <w:rFonts w:hint="eastAsia" w:ascii="仿宋_GB2312" w:eastAsia="仿宋_GB2312" w:cs="仿宋_GB2312"/>
          <w:b w:val="0"/>
          <w:bCs/>
          <w:kern w:val="0"/>
          <w:sz w:val="32"/>
          <w:szCs w:val="32"/>
        </w:rPr>
        <w:t>万元，主要包括：基本工资、津贴补贴、 奖金、伙食补助费、绩效工资、机关事业单位基本养老保险缴费、职业年金缴费、其他社会保障缴费、其他工资福利支出、 离休费、退休费、生活补助、医疗费、奖励金、住房公积金</w:t>
      </w:r>
      <w:r>
        <w:rPr>
          <w:rFonts w:hint="eastAsia" w:ascii="仿宋_GB2312" w:eastAsia="仿宋_GB2312" w:cs="仿宋_GB2312"/>
          <w:b w:val="0"/>
          <w:bCs/>
          <w:kern w:val="0"/>
          <w:sz w:val="32"/>
          <w:szCs w:val="32"/>
          <w:lang w:eastAsia="zh-CN"/>
        </w:rPr>
        <w:t>、住房补贴</w:t>
      </w:r>
      <w:r>
        <w:rPr>
          <w:rFonts w:hint="eastAsia" w:ascii="仿宋_GB2312" w:eastAsia="仿宋_GB2312" w:cs="仿宋_GB2312"/>
          <w:b w:val="0"/>
          <w:bCs/>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b w:val="0"/>
          <w:bCs/>
          <w:kern w:val="0"/>
          <w:sz w:val="32"/>
          <w:szCs w:val="32"/>
          <w:lang w:eastAsia="zh-CN"/>
        </w:rPr>
      </w:pPr>
      <w:r>
        <w:rPr>
          <w:rFonts w:hint="eastAsia" w:ascii="仿宋_GB2312" w:eastAsia="仿宋_GB2312" w:cs="仿宋_GB2312"/>
          <w:b w:val="0"/>
          <w:bCs/>
          <w:kern w:val="0"/>
          <w:sz w:val="32"/>
          <w:szCs w:val="32"/>
        </w:rPr>
        <w:t>公用经费</w:t>
      </w:r>
      <w:r>
        <w:rPr>
          <w:rFonts w:hint="eastAsia" w:ascii="仿宋_GB2312" w:eastAsia="仿宋_GB2312" w:cs="仿宋_GB2312"/>
          <w:b w:val="0"/>
          <w:bCs/>
          <w:kern w:val="0"/>
          <w:sz w:val="32"/>
          <w:szCs w:val="32"/>
          <w:lang w:val="en-US" w:eastAsia="zh-CN"/>
        </w:rPr>
        <w:t>44.35</w:t>
      </w:r>
      <w:r>
        <w:rPr>
          <w:rFonts w:hint="eastAsia" w:ascii="仿宋_GB2312" w:eastAsia="仿宋_GB2312" w:cs="仿宋_GB2312"/>
          <w:b w:val="0"/>
          <w:bCs/>
          <w:kern w:val="0"/>
          <w:sz w:val="32"/>
          <w:szCs w:val="32"/>
        </w:rPr>
        <w:t>万元，主要 包括：办公费、印刷费、咨询费、手续费、水费、电费、邮电 费、物业管理费、差旅费、维 修（护）费、会议费、培训费、公务接待费、劳务费、委托业务费、工会经费、福利费、其他交通费用、税金及附加费用、其他商品和服务支出、办公设备购置、专用设备购置</w:t>
      </w:r>
      <w:r>
        <w:rPr>
          <w:rFonts w:hint="eastAsia" w:ascii="仿宋_GB2312" w:eastAsia="仿宋_GB2312" w:cs="仿宋_GB2312"/>
          <w:b w:val="0"/>
          <w:bCs/>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七、</w:t>
      </w:r>
      <w:r>
        <w:rPr>
          <w:rFonts w:hint="eastAsia" w:ascii="仿宋_GB2312" w:eastAsia="仿宋_GB2312" w:cs="仿宋_GB2312"/>
          <w:b/>
          <w:bCs w:val="0"/>
          <w:kern w:val="0"/>
          <w:sz w:val="32"/>
          <w:szCs w:val="32"/>
          <w:lang w:eastAsia="zh-CN"/>
        </w:rPr>
        <w:t>20</w:t>
      </w:r>
      <w:r>
        <w:rPr>
          <w:rFonts w:hint="eastAsia" w:ascii="仿宋_GB2312" w:eastAsia="仿宋_GB2312" w:cs="仿宋_GB2312"/>
          <w:b/>
          <w:bCs w:val="0"/>
          <w:kern w:val="0"/>
          <w:sz w:val="32"/>
          <w:szCs w:val="32"/>
          <w:lang w:val="en-US" w:eastAsia="zh-CN"/>
        </w:rPr>
        <w:t>20</w:t>
      </w:r>
      <w:r>
        <w:rPr>
          <w:rFonts w:hint="eastAsia" w:ascii="仿宋_GB2312" w:eastAsia="仿宋_GB2312" w:cs="仿宋_GB2312"/>
          <w:b/>
          <w:bCs w:val="0"/>
          <w:kern w:val="0"/>
          <w:sz w:val="32"/>
          <w:szCs w:val="32"/>
        </w:rPr>
        <w:t xml:space="preserve"> 年度一般公共预算财政拨款“三公” 经费支出决算情况</w:t>
      </w:r>
      <w:r>
        <w:rPr>
          <w:rFonts w:hint="eastAsia" w:ascii="仿宋_GB2312" w:eastAsia="仿宋_GB2312" w:cs="仿宋_GB2312"/>
          <w:bCs/>
          <w:kern w:val="0"/>
          <w:sz w:val="32"/>
          <w:szCs w:val="32"/>
        </w:rPr>
        <w:t xml:space="preserve">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lang w:eastAsia="zh-CN"/>
        </w:rPr>
        <w:t>20</w:t>
      </w:r>
      <w:r>
        <w:rPr>
          <w:rFonts w:hint="eastAsia" w:ascii="仿宋_GB2312" w:eastAsia="仿宋_GB2312" w:cs="仿宋_GB2312"/>
          <w:bCs/>
          <w:kern w:val="0"/>
          <w:sz w:val="32"/>
          <w:szCs w:val="32"/>
          <w:lang w:val="en-US" w:eastAsia="zh-CN"/>
        </w:rPr>
        <w:t>20</w:t>
      </w:r>
      <w:r>
        <w:rPr>
          <w:rFonts w:hint="eastAsia" w:ascii="仿宋_GB2312" w:eastAsia="仿宋_GB2312" w:cs="仿宋_GB2312"/>
          <w:bCs/>
          <w:kern w:val="0"/>
          <w:sz w:val="32"/>
          <w:szCs w:val="32"/>
        </w:rPr>
        <w:t xml:space="preserve"> 年度“三公”经费财政拨款支出预算为</w:t>
      </w:r>
      <w:r>
        <w:rPr>
          <w:rFonts w:hint="eastAsia" w:ascii="仿宋_GB2312" w:eastAsia="仿宋_GB2312" w:cs="仿宋_GB2312"/>
          <w:bCs/>
          <w:kern w:val="0"/>
          <w:sz w:val="32"/>
          <w:szCs w:val="32"/>
          <w:lang w:val="en-US" w:eastAsia="zh-CN"/>
        </w:rPr>
        <w:t>2.77</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2.73</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98.56</w:t>
      </w:r>
      <w:r>
        <w:rPr>
          <w:rFonts w:hint="eastAsia" w:ascii="仿宋_GB2312" w:eastAsia="仿宋_GB2312" w:cs="仿宋_GB2312"/>
          <w:bCs/>
          <w:kern w:val="0"/>
          <w:sz w:val="32"/>
          <w:szCs w:val="32"/>
        </w:rPr>
        <w:t>%，其中：公务用车购置及运行费支出决算为</w:t>
      </w: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%；公务接待费支出决算为</w:t>
      </w:r>
      <w:r>
        <w:rPr>
          <w:rFonts w:hint="eastAsia" w:ascii="仿宋_GB2312" w:eastAsia="仿宋_GB2312" w:cs="仿宋_GB2312"/>
          <w:bCs/>
          <w:kern w:val="0"/>
          <w:sz w:val="32"/>
          <w:szCs w:val="32"/>
          <w:lang w:val="en-US" w:eastAsia="zh-CN"/>
        </w:rPr>
        <w:t>0.73</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94.81</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20</w:t>
      </w:r>
      <w:r>
        <w:rPr>
          <w:rFonts w:hint="eastAsia" w:ascii="仿宋_GB2312" w:eastAsia="仿宋_GB2312" w:cs="仿宋_GB2312"/>
          <w:bCs/>
          <w:kern w:val="0"/>
          <w:sz w:val="32"/>
          <w:szCs w:val="32"/>
          <w:lang w:val="en-US" w:eastAsia="zh-CN"/>
        </w:rPr>
        <w:t>20</w:t>
      </w:r>
      <w:r>
        <w:rPr>
          <w:rFonts w:hint="eastAsia" w:ascii="仿宋_GB2312" w:eastAsia="仿宋_GB2312" w:cs="仿宋_GB2312"/>
          <w:bCs/>
          <w:kern w:val="0"/>
          <w:sz w:val="32"/>
          <w:szCs w:val="32"/>
        </w:rPr>
        <w:t>年度“三公”经费支出决算数小于预算数的主要原因是认真贯彻落实中央“八项规定”精神和厉行节约要求，进一步从严控制“三公”经费开支，全年实际支出比预算有所节约</w:t>
      </w:r>
      <w:r>
        <w:rPr>
          <w:rFonts w:hint="eastAsia" w:ascii="仿宋_GB2312" w:eastAsia="仿宋_GB2312" w:cs="仿宋_GB2312"/>
          <w:bCs/>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lang w:eastAsia="zh-CN"/>
        </w:rPr>
        <w:t>20</w:t>
      </w:r>
      <w:r>
        <w:rPr>
          <w:rFonts w:hint="eastAsia" w:ascii="仿宋_GB2312" w:eastAsia="仿宋_GB2312" w:cs="仿宋_GB2312"/>
          <w:bCs/>
          <w:kern w:val="0"/>
          <w:sz w:val="32"/>
          <w:szCs w:val="32"/>
          <w:highlight w:val="none"/>
          <w:lang w:val="en-US" w:eastAsia="zh-CN"/>
        </w:rPr>
        <w:t>20</w:t>
      </w:r>
      <w:r>
        <w:rPr>
          <w:rFonts w:hint="eastAsia" w:ascii="仿宋_GB2312" w:eastAsia="仿宋_GB2312" w:cs="仿宋_GB2312"/>
          <w:bCs/>
          <w:kern w:val="0"/>
          <w:sz w:val="32"/>
          <w:szCs w:val="32"/>
          <w:highlight w:val="none"/>
        </w:rPr>
        <w:t>年度“三公”经费财政拨款支出决算数比</w:t>
      </w:r>
      <w:r>
        <w:rPr>
          <w:rFonts w:hint="eastAsia" w:ascii="仿宋_GB2312" w:eastAsia="仿宋_GB2312" w:cs="仿宋_GB2312"/>
          <w:bCs/>
          <w:kern w:val="0"/>
          <w:sz w:val="32"/>
          <w:szCs w:val="32"/>
          <w:highlight w:val="none"/>
          <w:lang w:eastAsia="zh-CN"/>
        </w:rPr>
        <w:t>201</w:t>
      </w:r>
      <w:r>
        <w:rPr>
          <w:rFonts w:hint="eastAsia" w:ascii="仿宋_GB2312" w:eastAsia="仿宋_GB2312" w:cs="仿宋_GB2312"/>
          <w:bCs/>
          <w:kern w:val="0"/>
          <w:sz w:val="32"/>
          <w:szCs w:val="32"/>
          <w:highlight w:val="none"/>
          <w:lang w:val="en-US" w:eastAsia="zh-CN"/>
        </w:rPr>
        <w:t>9</w:t>
      </w:r>
      <w:r>
        <w:rPr>
          <w:rFonts w:hint="eastAsia" w:ascii="仿宋_GB2312" w:eastAsia="仿宋_GB2312" w:cs="仿宋_GB2312"/>
          <w:bCs/>
          <w:kern w:val="0"/>
          <w:sz w:val="32"/>
          <w:szCs w:val="32"/>
          <w:highlight w:val="none"/>
        </w:rPr>
        <w:t>年减少</w:t>
      </w:r>
      <w:r>
        <w:rPr>
          <w:rFonts w:hint="eastAsia" w:ascii="仿宋_GB2312" w:eastAsia="仿宋_GB2312" w:cs="仿宋_GB2312"/>
          <w:bCs/>
          <w:kern w:val="0"/>
          <w:sz w:val="32"/>
          <w:szCs w:val="32"/>
          <w:highlight w:val="none"/>
          <w:lang w:val="en-US" w:eastAsia="zh-CN"/>
        </w:rPr>
        <w:t>0.62</w:t>
      </w:r>
      <w:r>
        <w:rPr>
          <w:rFonts w:hint="eastAsia" w:ascii="仿宋_GB2312" w:eastAsia="仿宋_GB2312" w:cs="仿宋_GB2312"/>
          <w:bCs/>
          <w:kern w:val="0"/>
          <w:sz w:val="32"/>
          <w:szCs w:val="32"/>
          <w:highlight w:val="none"/>
        </w:rPr>
        <w:t>万元，下降</w:t>
      </w:r>
      <w:r>
        <w:rPr>
          <w:rFonts w:hint="eastAsia" w:ascii="仿宋_GB2312" w:eastAsia="仿宋_GB2312" w:cs="仿宋_GB2312"/>
          <w:bCs/>
          <w:kern w:val="0"/>
          <w:sz w:val="32"/>
          <w:szCs w:val="32"/>
          <w:highlight w:val="none"/>
          <w:lang w:val="en-US" w:eastAsia="zh-CN"/>
        </w:rPr>
        <w:t>22.38</w:t>
      </w:r>
      <w:r>
        <w:rPr>
          <w:rFonts w:hint="eastAsia" w:ascii="仿宋_GB2312" w:eastAsia="仿宋_GB2312" w:cs="仿宋_GB2312"/>
          <w:bCs/>
          <w:kern w:val="0"/>
          <w:sz w:val="32"/>
          <w:szCs w:val="32"/>
          <w:highlight w:val="none"/>
        </w:rPr>
        <w:t>%，其中：因公出国（境）费支出决算</w:t>
      </w:r>
      <w:r>
        <w:rPr>
          <w:rFonts w:hint="eastAsia" w:ascii="仿宋_GB2312" w:eastAsia="仿宋_GB2312" w:cs="仿宋_GB2312"/>
          <w:bCs/>
          <w:kern w:val="0"/>
          <w:sz w:val="32"/>
          <w:szCs w:val="32"/>
          <w:highlight w:val="none"/>
          <w:lang w:eastAsia="zh-CN"/>
        </w:rPr>
        <w:t>今年为</w:t>
      </w:r>
      <w:r>
        <w:rPr>
          <w:rFonts w:hint="eastAsia" w:ascii="仿宋_GB2312" w:eastAsia="仿宋_GB2312" w:cs="仿宋_GB2312"/>
          <w:bCs/>
          <w:kern w:val="0"/>
          <w:sz w:val="32"/>
          <w:szCs w:val="32"/>
          <w:highlight w:val="none"/>
          <w:lang w:val="en-US" w:eastAsia="zh-CN"/>
        </w:rPr>
        <w:t>0万元，</w:t>
      </w:r>
      <w:r>
        <w:rPr>
          <w:rFonts w:hint="eastAsia" w:ascii="仿宋_GB2312" w:eastAsia="仿宋_GB2312" w:cs="仿宋_GB2312"/>
          <w:bCs/>
          <w:kern w:val="0"/>
          <w:sz w:val="32"/>
          <w:szCs w:val="32"/>
          <w:highlight w:val="none"/>
        </w:rPr>
        <w:t>减少</w:t>
      </w:r>
      <w:r>
        <w:rPr>
          <w:rFonts w:hint="eastAsia" w:ascii="仿宋_GB2312" w:eastAsia="仿宋_GB2312" w:cs="仿宋_GB2312"/>
          <w:bCs/>
          <w:kern w:val="0"/>
          <w:sz w:val="32"/>
          <w:szCs w:val="32"/>
          <w:highlight w:val="none"/>
          <w:lang w:val="en-US" w:eastAsia="zh-CN"/>
        </w:rPr>
        <w:t>0</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公务用车购置及运行费决算增加</w:t>
      </w:r>
      <w:r>
        <w:rPr>
          <w:rFonts w:hint="eastAsia" w:ascii="仿宋_GB2312" w:eastAsia="仿宋_GB2312" w:cs="仿宋_GB2312"/>
          <w:bCs/>
          <w:kern w:val="0"/>
          <w:sz w:val="32"/>
          <w:szCs w:val="32"/>
          <w:highlight w:val="none"/>
          <w:lang w:val="en-US" w:eastAsia="zh-CN"/>
        </w:rPr>
        <w:t>0.71万元，增加55.04；</w:t>
      </w:r>
      <w:r>
        <w:rPr>
          <w:rFonts w:hint="eastAsia" w:ascii="仿宋_GB2312" w:eastAsia="仿宋_GB2312" w:cs="仿宋_GB2312"/>
          <w:bCs/>
          <w:kern w:val="0"/>
          <w:sz w:val="32"/>
          <w:szCs w:val="32"/>
          <w:highlight w:val="none"/>
          <w:lang w:eastAsia="zh-CN"/>
        </w:rPr>
        <w:t>支出</w:t>
      </w:r>
      <w:r>
        <w:rPr>
          <w:rFonts w:hint="eastAsia" w:ascii="仿宋_GB2312" w:eastAsia="仿宋_GB2312" w:cs="仿宋_GB2312"/>
          <w:bCs/>
          <w:kern w:val="0"/>
          <w:sz w:val="32"/>
          <w:szCs w:val="32"/>
          <w:highlight w:val="none"/>
        </w:rPr>
        <w:t>公务接待费支出决算减少</w:t>
      </w:r>
      <w:r>
        <w:rPr>
          <w:rFonts w:hint="eastAsia" w:ascii="仿宋_GB2312" w:eastAsia="仿宋_GB2312" w:cs="仿宋_GB2312"/>
          <w:bCs/>
          <w:kern w:val="0"/>
          <w:sz w:val="32"/>
          <w:szCs w:val="32"/>
          <w:highlight w:val="none"/>
          <w:lang w:val="en-US" w:eastAsia="zh-CN"/>
        </w:rPr>
        <w:t>0.13</w:t>
      </w:r>
      <w:r>
        <w:rPr>
          <w:rFonts w:hint="eastAsia" w:ascii="仿宋_GB2312" w:eastAsia="仿宋_GB2312" w:cs="仿宋_GB2312"/>
          <w:bCs/>
          <w:kern w:val="0"/>
          <w:sz w:val="32"/>
          <w:szCs w:val="32"/>
          <w:highlight w:val="none"/>
        </w:rPr>
        <w:t>万元，下降</w:t>
      </w:r>
      <w:r>
        <w:rPr>
          <w:rFonts w:hint="eastAsia" w:ascii="仿宋_GB2312" w:eastAsia="仿宋_GB2312" w:cs="仿宋_GB2312"/>
          <w:bCs/>
          <w:kern w:val="0"/>
          <w:sz w:val="32"/>
          <w:szCs w:val="32"/>
          <w:highlight w:val="none"/>
          <w:lang w:val="en-US" w:eastAsia="zh-CN"/>
        </w:rPr>
        <w:t>15.12</w:t>
      </w:r>
      <w:r>
        <w:rPr>
          <w:rFonts w:hint="eastAsia" w:ascii="仿宋_GB2312" w:eastAsia="仿宋_GB2312" w:cs="仿宋_GB2312"/>
          <w:bCs/>
          <w:kern w:val="0"/>
          <w:sz w:val="32"/>
          <w:szCs w:val="32"/>
          <w:highlight w:val="none"/>
        </w:rPr>
        <w:t>%。</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highlight w:val="none"/>
        </w:rPr>
        <w:t>因公出国（境）费支出减少的主要原因是</w:t>
      </w:r>
      <w:r>
        <w:rPr>
          <w:rFonts w:hint="eastAsia" w:ascii="仿宋_GB2312" w:eastAsia="仿宋_GB2312" w:cs="仿宋_GB2312"/>
          <w:bCs/>
          <w:kern w:val="0"/>
          <w:sz w:val="32"/>
          <w:szCs w:val="32"/>
          <w:highlight w:val="none"/>
          <w:lang w:eastAsia="zh-CN"/>
        </w:rPr>
        <w:t>我单位今年没有因公出国安排；</w:t>
      </w:r>
      <w:r>
        <w:rPr>
          <w:rFonts w:hint="eastAsia" w:ascii="仿宋_GB2312" w:eastAsia="仿宋_GB2312" w:cs="仿宋_GB2312"/>
          <w:bCs/>
          <w:kern w:val="0"/>
          <w:sz w:val="32"/>
          <w:szCs w:val="32"/>
          <w:highlight w:val="none"/>
        </w:rPr>
        <w:t>公务用车购置及运行费支出增加的主要原因是公务用车燃油费及通行费增加；公务接待费支出减少的主要原因是认真贯彻落实中央“八项规定”精神和厉行节约要求，进一步从严控制“三公”经费开支，全年实际支出比预算有所节约。</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（二）“三公”经费财政拨款支出决算具体情况</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年度“三公”经费财政拨款支出决算中，公务用车购置及运行费支出决算</w:t>
      </w: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73.36</w:t>
      </w:r>
      <w:r>
        <w:rPr>
          <w:rFonts w:hint="eastAsia" w:ascii="仿宋_GB2312" w:eastAsia="仿宋_GB2312" w:cs="仿宋_GB2312"/>
          <w:bCs/>
          <w:kern w:val="0"/>
          <w:sz w:val="32"/>
          <w:szCs w:val="32"/>
        </w:rPr>
        <w:t>%；公务接待费支出决算</w:t>
      </w:r>
      <w:r>
        <w:rPr>
          <w:rFonts w:hint="eastAsia" w:ascii="仿宋_GB2312" w:eastAsia="仿宋_GB2312" w:cs="仿宋_GB2312"/>
          <w:bCs/>
          <w:kern w:val="0"/>
          <w:sz w:val="32"/>
          <w:szCs w:val="32"/>
          <w:lang w:val="en-US" w:eastAsia="zh-CN"/>
        </w:rPr>
        <w:t>0.73</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26.74</w:t>
      </w:r>
      <w:r>
        <w:rPr>
          <w:rFonts w:hint="eastAsia" w:ascii="仿宋_GB2312" w:eastAsia="仿宋_GB2312" w:cs="仿宋_GB2312"/>
          <w:bCs/>
          <w:kern w:val="0"/>
          <w:sz w:val="32"/>
          <w:szCs w:val="32"/>
        </w:rPr>
        <w:t xml:space="preserve">%。具体情况如下：  </w:t>
      </w:r>
    </w:p>
    <w:p>
      <w:pPr>
        <w:autoSpaceDE w:val="0"/>
        <w:autoSpaceDN w:val="0"/>
        <w:adjustRightInd w:val="0"/>
        <w:spacing w:line="580" w:lineRule="exact"/>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1.因公出国（境）费支出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 （境）团组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人次。 </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.公务用车购置及运行费支出</w:t>
      </w: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万元。其中： 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w:t>
      </w:r>
      <w:r>
        <w:rPr>
          <w:rFonts w:hint="eastAsia" w:ascii="仿宋_GB2312" w:eastAsia="仿宋_GB2312" w:cs="仿宋_GB2312"/>
          <w:bCs/>
          <w:kern w:val="0"/>
          <w:sz w:val="32"/>
          <w:szCs w:val="32"/>
        </w:rPr>
        <w:t>公务用车运行支出</w:t>
      </w:r>
      <w:r>
        <w:rPr>
          <w:rFonts w:hint="eastAsia" w:ascii="仿宋_GB2312" w:eastAsia="仿宋_GB2312" w:cs="仿宋_GB2312"/>
          <w:bCs/>
          <w:kern w:val="0"/>
          <w:sz w:val="32"/>
          <w:szCs w:val="32"/>
          <w:lang w:val="en-US" w:eastAsia="zh-CN"/>
        </w:rPr>
        <w:t>2</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公务用车运行维护。</w:t>
      </w: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年，机关所属单位开支财政拨款的公务用车保有量为</w:t>
      </w:r>
      <w:r>
        <w:rPr>
          <w:rFonts w:hint="eastAsia" w:ascii="仿宋_GB2312" w:eastAsia="仿宋_GB2312" w:cs="仿宋_GB2312"/>
          <w:bCs/>
          <w:kern w:val="0"/>
          <w:sz w:val="32"/>
          <w:szCs w:val="32"/>
          <w:lang w:val="en-US" w:eastAsia="zh-CN"/>
        </w:rPr>
        <w:t>1</w:t>
      </w:r>
      <w:r>
        <w:rPr>
          <w:rFonts w:hint="eastAsia" w:ascii="仿宋_GB2312" w:eastAsia="仿宋_GB2312" w:cs="仿宋_GB2312"/>
          <w:bCs/>
          <w:kern w:val="0"/>
          <w:sz w:val="32"/>
          <w:szCs w:val="32"/>
        </w:rPr>
        <w:t>辆。</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3.公务接待费支出</w:t>
      </w:r>
      <w:r>
        <w:rPr>
          <w:rFonts w:hint="eastAsia" w:ascii="仿宋_GB2312" w:eastAsia="仿宋_GB2312" w:cs="仿宋_GB2312"/>
          <w:bCs/>
          <w:kern w:val="0"/>
          <w:sz w:val="32"/>
          <w:szCs w:val="32"/>
          <w:lang w:val="en-US" w:eastAsia="zh-CN"/>
        </w:rPr>
        <w:t>0.73</w:t>
      </w:r>
      <w:r>
        <w:rPr>
          <w:rFonts w:hint="eastAsia" w:ascii="仿宋_GB2312" w:eastAsia="仿宋_GB2312" w:cs="仿宋_GB2312"/>
          <w:bCs/>
          <w:kern w:val="0"/>
          <w:sz w:val="32"/>
          <w:szCs w:val="32"/>
        </w:rPr>
        <w:t>万元。其中：</w:t>
      </w:r>
    </w:p>
    <w:p>
      <w:pPr>
        <w:autoSpaceDE w:val="0"/>
        <w:autoSpaceDN w:val="0"/>
        <w:adjustRightInd w:val="0"/>
        <w:spacing w:line="560" w:lineRule="exact"/>
        <w:ind w:firstLine="64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20</w:t>
      </w:r>
      <w:r>
        <w:rPr>
          <w:rFonts w:hint="eastAsia" w:ascii="仿宋_GB2312" w:eastAsia="仿宋_GB2312" w:cs="仿宋_GB2312"/>
          <w:bCs/>
          <w:kern w:val="0"/>
          <w:sz w:val="32"/>
          <w:szCs w:val="32"/>
          <w:lang w:val="en-US" w:eastAsia="zh-CN"/>
        </w:rPr>
        <w:t>20</w:t>
      </w:r>
      <w:r>
        <w:rPr>
          <w:rFonts w:hint="eastAsia" w:ascii="仿宋_GB2312" w:eastAsia="仿宋_GB2312" w:cs="仿宋_GB2312"/>
          <w:bCs/>
          <w:kern w:val="0"/>
          <w:sz w:val="32"/>
          <w:szCs w:val="32"/>
        </w:rPr>
        <w:t xml:space="preserve"> 年共接待国（境）外来访团组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个、来访外宾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p>
    <w:p>
      <w:pPr>
        <w:autoSpaceDE w:val="0"/>
        <w:autoSpaceDN w:val="0"/>
        <w:adjustRightInd w:val="0"/>
        <w:spacing w:line="560" w:lineRule="exact"/>
        <w:ind w:firstLine="640" w:firstLineChars="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国内公务接待支出</w:t>
      </w:r>
      <w:r>
        <w:rPr>
          <w:rFonts w:hint="eastAsia" w:ascii="仿宋_GB2312" w:eastAsia="仿宋_GB2312" w:cs="仿宋_GB2312"/>
          <w:bCs/>
          <w:kern w:val="0"/>
          <w:sz w:val="32"/>
          <w:szCs w:val="32"/>
          <w:lang w:val="en-US" w:eastAsia="zh-CN"/>
        </w:rPr>
        <w:t>0.73</w:t>
      </w:r>
      <w:r>
        <w:rPr>
          <w:rFonts w:hint="eastAsia" w:ascii="仿宋_GB2312" w:eastAsia="仿宋_GB2312" w:cs="仿宋_GB2312"/>
          <w:bCs/>
          <w:kern w:val="0"/>
          <w:sz w:val="32"/>
          <w:szCs w:val="32"/>
        </w:rPr>
        <w:t>万元。主要用于接待自治区残联来柳检查督查各项工作及其他地市残联来柳州市残联考察交流学习座谈开支。</w:t>
      </w: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 xml:space="preserve"> 年共接待国内来访团组</w:t>
      </w:r>
      <w:r>
        <w:rPr>
          <w:rFonts w:hint="eastAsia" w:ascii="仿宋_GB2312" w:eastAsia="仿宋_GB2312" w:cs="仿宋_GB2312"/>
          <w:bCs/>
          <w:kern w:val="0"/>
          <w:sz w:val="32"/>
          <w:szCs w:val="32"/>
          <w:lang w:val="en-US" w:eastAsia="zh-CN"/>
        </w:rPr>
        <w:t>19</w:t>
      </w:r>
      <w:r>
        <w:rPr>
          <w:rFonts w:hint="eastAsia" w:ascii="仿宋_GB2312" w:eastAsia="仿宋_GB2312" w:cs="仿宋_GB2312"/>
          <w:bCs/>
          <w:kern w:val="0"/>
          <w:sz w:val="32"/>
          <w:szCs w:val="32"/>
        </w:rPr>
        <w:t>个、来宾</w:t>
      </w:r>
      <w:r>
        <w:rPr>
          <w:rFonts w:hint="eastAsia" w:ascii="仿宋_GB2312" w:eastAsia="仿宋_GB2312" w:cs="仿宋_GB2312"/>
          <w:bCs/>
          <w:kern w:val="0"/>
          <w:sz w:val="32"/>
          <w:szCs w:val="32"/>
          <w:lang w:val="en-US" w:eastAsia="zh-CN"/>
        </w:rPr>
        <w:t>73</w:t>
      </w:r>
      <w:r>
        <w:rPr>
          <w:rFonts w:hint="eastAsia" w:ascii="仿宋_GB2312" w:eastAsia="仿宋_GB2312" w:cs="仿宋_GB2312"/>
          <w:bCs/>
          <w:kern w:val="0"/>
          <w:sz w:val="32"/>
          <w:szCs w:val="32"/>
        </w:rPr>
        <w:t>人次</w:t>
      </w:r>
      <w:r>
        <w:rPr>
          <w:rFonts w:hint="eastAsia" w:ascii="仿宋_GB2312" w:eastAsia="仿宋_GB2312" w:cs="仿宋_GB2312"/>
          <w:bCs/>
          <w:kern w:val="0"/>
          <w:sz w:val="32"/>
          <w:szCs w:val="32"/>
          <w:lang w:eastAsia="zh-CN"/>
        </w:rPr>
        <w:t>。</w:t>
      </w:r>
    </w:p>
    <w:p>
      <w:pPr>
        <w:autoSpaceDE w:val="0"/>
        <w:autoSpaceDN w:val="0"/>
        <w:adjustRightInd w:val="0"/>
        <w:spacing w:line="560" w:lineRule="exact"/>
        <w:ind w:firstLine="0" w:firstLineChars="0"/>
        <w:jc w:val="left"/>
        <w:rPr>
          <w:rFonts w:hint="eastAsia" w:ascii="仿宋_GB2312" w:eastAsia="仿宋_GB2312" w:cs="仿宋_GB2312"/>
          <w:b/>
          <w:bCs w:val="0"/>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八、</w:t>
      </w:r>
      <w:r>
        <w:rPr>
          <w:rFonts w:hint="eastAsia" w:ascii="仿宋_GB2312" w:eastAsia="仿宋_GB2312" w:cs="仿宋_GB2312"/>
          <w:b/>
          <w:bCs w:val="0"/>
          <w:kern w:val="0"/>
          <w:sz w:val="32"/>
          <w:szCs w:val="32"/>
          <w:lang w:val="en-US" w:eastAsia="zh-CN"/>
        </w:rPr>
        <w:t>2020</w:t>
      </w:r>
      <w:r>
        <w:rPr>
          <w:rFonts w:hint="eastAsia" w:ascii="仿宋_GB2312" w:eastAsia="仿宋_GB2312" w:cs="仿宋_GB2312"/>
          <w:b/>
          <w:bCs w:val="0"/>
          <w:kern w:val="0"/>
          <w:sz w:val="32"/>
          <w:szCs w:val="32"/>
        </w:rPr>
        <w:t xml:space="preserve"> 年度政府性基金预算财政拨款收入支出决算情况说明 </w:t>
      </w:r>
    </w:p>
    <w:p>
      <w:pPr>
        <w:autoSpaceDE w:val="0"/>
        <w:autoSpaceDN w:val="0"/>
        <w:adjustRightInd w:val="0"/>
        <w:spacing w:line="560" w:lineRule="exact"/>
        <w:ind w:firstLine="0" w:firstLineChars="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 xml:space="preserve">    本部门 </w:t>
      </w: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 xml:space="preserve">年度政府基金预算财政拨款收、支总决算 </w:t>
      </w:r>
      <w:r>
        <w:rPr>
          <w:rFonts w:hint="eastAsia" w:ascii="仿宋_GB2312" w:eastAsia="仿宋_GB2312" w:cs="仿宋_GB2312"/>
          <w:bCs/>
          <w:kern w:val="0"/>
          <w:sz w:val="32"/>
          <w:szCs w:val="32"/>
          <w:lang w:val="en-US" w:eastAsia="zh-CN"/>
        </w:rPr>
        <w:t>68.8</w:t>
      </w:r>
      <w:r>
        <w:rPr>
          <w:rFonts w:hint="eastAsia" w:ascii="仿宋_GB2312" w:eastAsia="仿宋_GB2312" w:cs="仿宋_GB2312"/>
          <w:bCs/>
          <w:kern w:val="0"/>
          <w:sz w:val="32"/>
          <w:szCs w:val="32"/>
        </w:rPr>
        <w:t xml:space="preserve">万元。与 </w:t>
      </w:r>
      <w:r>
        <w:rPr>
          <w:rFonts w:hint="eastAsia" w:ascii="仿宋_GB2312" w:eastAsia="仿宋_GB2312" w:cs="仿宋_GB2312"/>
          <w:bCs/>
          <w:kern w:val="0"/>
          <w:sz w:val="32"/>
          <w:szCs w:val="32"/>
          <w:lang w:eastAsia="zh-CN"/>
        </w:rPr>
        <w:t>201</w:t>
      </w:r>
      <w:r>
        <w:rPr>
          <w:rFonts w:hint="eastAsia" w:ascii="仿宋_GB2312" w:eastAsia="仿宋_GB2312" w:cs="仿宋_GB2312"/>
          <w:bCs/>
          <w:kern w:val="0"/>
          <w:sz w:val="32"/>
          <w:szCs w:val="32"/>
          <w:lang w:val="en-US" w:eastAsia="zh-CN"/>
        </w:rPr>
        <w:t>9</w:t>
      </w:r>
      <w:r>
        <w:rPr>
          <w:rFonts w:hint="eastAsia" w:ascii="仿宋_GB2312" w:eastAsia="仿宋_GB2312" w:cs="仿宋_GB2312"/>
          <w:bCs/>
          <w:kern w:val="0"/>
          <w:sz w:val="32"/>
          <w:szCs w:val="32"/>
        </w:rPr>
        <w:t xml:space="preserve"> 年相比，收、支总计</w:t>
      </w:r>
      <w:r>
        <w:rPr>
          <w:rFonts w:hint="eastAsia" w:ascii="仿宋_GB2312" w:eastAsia="仿宋_GB2312" w:cs="仿宋_GB2312"/>
          <w:bCs/>
          <w:kern w:val="0"/>
          <w:sz w:val="32"/>
          <w:szCs w:val="32"/>
          <w:lang w:eastAsia="zh-CN"/>
        </w:rPr>
        <w:t>都减少</w:t>
      </w:r>
      <w:r>
        <w:rPr>
          <w:rFonts w:hint="eastAsia" w:ascii="仿宋_GB2312" w:eastAsia="仿宋_GB2312" w:cs="仿宋_GB2312"/>
          <w:bCs/>
          <w:kern w:val="0"/>
          <w:sz w:val="32"/>
          <w:szCs w:val="32"/>
          <w:lang w:val="en-US" w:eastAsia="zh-CN"/>
        </w:rPr>
        <w:t>5.5</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9.2</w:t>
      </w:r>
      <w:r>
        <w:rPr>
          <w:rFonts w:hint="eastAsia" w:ascii="仿宋_GB2312" w:eastAsia="仿宋_GB2312" w:cs="仿宋_GB2312"/>
          <w:bCs/>
          <w:kern w:val="0"/>
          <w:sz w:val="32"/>
          <w:szCs w:val="32"/>
        </w:rPr>
        <w:t>%。其中，</w:t>
      </w:r>
      <w:bookmarkStart w:id="0" w:name="_GoBack"/>
      <w:bookmarkEnd w:id="0"/>
      <w:r>
        <w:rPr>
          <w:rFonts w:hint="eastAsia" w:ascii="仿宋_GB2312" w:eastAsia="仿宋_GB2312" w:cs="仿宋_GB2312"/>
          <w:bCs/>
          <w:kern w:val="0"/>
          <w:sz w:val="32"/>
          <w:szCs w:val="32"/>
        </w:rPr>
        <w:t>支出情况为：</w:t>
      </w:r>
    </w:p>
    <w:p>
      <w:pPr>
        <w:autoSpaceDE w:val="0"/>
        <w:autoSpaceDN w:val="0"/>
        <w:adjustRightInd w:val="0"/>
        <w:spacing w:line="560" w:lineRule="exact"/>
        <w:ind w:firstLine="800" w:firstLineChars="250"/>
        <w:jc w:val="left"/>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年基金拨款年初预算为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w:t>
      </w:r>
      <w:r>
        <w:rPr>
          <w:rFonts w:hint="eastAsia" w:ascii="仿宋_GB2312" w:eastAsia="仿宋_GB2312" w:cs="仿宋_GB2312"/>
          <w:bCs/>
          <w:kern w:val="0"/>
          <w:sz w:val="32"/>
          <w:szCs w:val="32"/>
          <w:lang w:val="en-US" w:eastAsia="zh-CN"/>
        </w:rPr>
        <w:t>68.8</w:t>
      </w:r>
      <w:r>
        <w:rPr>
          <w:rFonts w:hint="eastAsia" w:ascii="仿宋_GB2312" w:eastAsia="仿宋_GB2312" w:cs="仿宋_GB2312"/>
          <w:bCs/>
          <w:kern w:val="0"/>
          <w:sz w:val="32"/>
          <w:szCs w:val="32"/>
        </w:rPr>
        <w:t>万元，决算大于预算数主要原因：年中追加安排政府性基金财政拨款支出预算，涉及项目</w:t>
      </w:r>
      <w:r>
        <w:rPr>
          <w:rFonts w:hint="eastAsia" w:ascii="仿宋_GB2312" w:eastAsia="仿宋_GB2312" w:cs="仿宋_GB2312"/>
          <w:bCs/>
          <w:kern w:val="0"/>
          <w:sz w:val="32"/>
          <w:szCs w:val="32"/>
          <w:highlight w:val="none"/>
        </w:rPr>
        <w:t>有中央彩票公益金残疾儿童康复救助项目</w:t>
      </w:r>
      <w:r>
        <w:rPr>
          <w:rFonts w:hint="eastAsia" w:ascii="仿宋_GB2312" w:eastAsia="仿宋_GB2312" w:cs="仿宋_GB2312"/>
          <w:bCs/>
          <w:kern w:val="0"/>
          <w:sz w:val="32"/>
          <w:szCs w:val="32"/>
          <w:highlight w:val="none"/>
          <w:lang w:val="en-US" w:eastAsia="zh-CN"/>
        </w:rPr>
        <w:t>49.72</w:t>
      </w:r>
      <w:r>
        <w:rPr>
          <w:rFonts w:hint="eastAsia" w:ascii="仿宋_GB2312" w:eastAsia="仿宋_GB2312" w:cs="仿宋_GB2312"/>
          <w:bCs/>
          <w:kern w:val="0"/>
          <w:sz w:val="32"/>
          <w:szCs w:val="32"/>
          <w:highlight w:val="none"/>
        </w:rPr>
        <w:t>万元</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lang w:val="en-US" w:eastAsia="zh-CN"/>
        </w:rPr>
        <w:t>2018年结转</w:t>
      </w:r>
      <w:r>
        <w:rPr>
          <w:rFonts w:hint="eastAsia" w:ascii="仿宋_GB2312" w:eastAsia="仿宋_GB2312" w:cs="仿宋_GB2312"/>
          <w:bCs/>
          <w:kern w:val="0"/>
          <w:sz w:val="32"/>
          <w:szCs w:val="32"/>
          <w:highlight w:val="none"/>
          <w:lang w:eastAsia="zh-CN"/>
        </w:rPr>
        <w:t>）</w:t>
      </w:r>
      <w:r>
        <w:rPr>
          <w:rFonts w:hint="eastAsia" w:ascii="仿宋_GB2312" w:eastAsia="仿宋_GB2312" w:cs="仿宋_GB2312"/>
          <w:bCs/>
          <w:kern w:val="0"/>
          <w:sz w:val="32"/>
          <w:szCs w:val="32"/>
          <w:highlight w:val="none"/>
        </w:rPr>
        <w:t>及贫困残疾儿童学前教育资助</w:t>
      </w:r>
      <w:r>
        <w:rPr>
          <w:rFonts w:hint="eastAsia" w:ascii="仿宋_GB2312" w:eastAsia="仿宋_GB2312" w:cs="仿宋_GB2312"/>
          <w:bCs/>
          <w:kern w:val="0"/>
          <w:sz w:val="32"/>
          <w:szCs w:val="32"/>
          <w:highlight w:val="none"/>
          <w:lang w:val="en-US" w:eastAsia="zh-CN"/>
        </w:rPr>
        <w:t>19.5</w:t>
      </w:r>
      <w:r>
        <w:rPr>
          <w:rFonts w:hint="eastAsia" w:ascii="仿宋_GB2312" w:eastAsia="仿宋_GB2312" w:cs="仿宋_GB2312"/>
          <w:bCs/>
          <w:kern w:val="0"/>
          <w:sz w:val="32"/>
          <w:szCs w:val="32"/>
          <w:highlight w:val="none"/>
        </w:rPr>
        <w:t>万元。</w:t>
      </w:r>
    </w:p>
    <w:p>
      <w:pPr>
        <w:autoSpaceDE w:val="0"/>
        <w:autoSpaceDN w:val="0"/>
        <w:adjustRightInd w:val="0"/>
        <w:spacing w:line="56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1.</w:t>
      </w:r>
      <w:r>
        <w:rPr>
          <w:rFonts w:hint="eastAsia" w:ascii="仿宋_GB2312" w:eastAsia="仿宋_GB2312" w:cs="仿宋_GB2312"/>
          <w:bCs/>
          <w:kern w:val="0"/>
          <w:sz w:val="32"/>
          <w:szCs w:val="32"/>
          <w:lang w:eastAsia="zh-CN"/>
        </w:rPr>
        <w:t>其他支出</w:t>
      </w:r>
      <w:r>
        <w:rPr>
          <w:rFonts w:hint="eastAsia" w:ascii="仿宋_GB2312" w:eastAsia="仿宋_GB2312" w:cs="仿宋_GB2312"/>
          <w:bCs/>
          <w:kern w:val="0"/>
          <w:sz w:val="32"/>
          <w:szCs w:val="32"/>
        </w:rPr>
        <w:t>（类）</w:t>
      </w:r>
      <w:r>
        <w:rPr>
          <w:rFonts w:hint="eastAsia" w:ascii="仿宋_GB2312" w:eastAsia="仿宋_GB2312" w:cs="仿宋_GB2312"/>
          <w:bCs/>
          <w:kern w:val="0"/>
          <w:sz w:val="32"/>
          <w:szCs w:val="32"/>
          <w:lang w:eastAsia="zh-CN"/>
        </w:rPr>
        <w:t>彩票公益金安排的支出</w:t>
      </w:r>
      <w:r>
        <w:rPr>
          <w:rFonts w:hint="eastAsia" w:ascii="仿宋_GB2312" w:eastAsia="仿宋_GB2312" w:cs="仿宋_GB2312"/>
          <w:bCs/>
          <w:kern w:val="0"/>
          <w:sz w:val="32"/>
          <w:szCs w:val="32"/>
        </w:rPr>
        <w:t>（款）</w:t>
      </w:r>
      <w:r>
        <w:rPr>
          <w:rFonts w:hint="eastAsia" w:ascii="仿宋_GB2312" w:eastAsia="仿宋_GB2312" w:cs="仿宋_GB2312"/>
          <w:bCs/>
          <w:kern w:val="0"/>
          <w:sz w:val="32"/>
          <w:szCs w:val="32"/>
          <w:lang w:eastAsia="zh-CN"/>
        </w:rPr>
        <w:t>用于残疾人事业的彩票公益金支出</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68.8</w:t>
      </w:r>
      <w:r>
        <w:rPr>
          <w:rFonts w:hint="eastAsia" w:ascii="仿宋_GB2312" w:eastAsia="仿宋_GB2312" w:cs="仿宋_GB2312"/>
          <w:bCs/>
          <w:kern w:val="0"/>
          <w:sz w:val="32"/>
          <w:szCs w:val="32"/>
        </w:rPr>
        <w:t>万元。决算数大于预算数的主要原因是年中追加安排政府性基金财政拨款支出预算，涉及项目有中央彩票公益金残疾儿童康复救助项目</w:t>
      </w:r>
      <w:r>
        <w:rPr>
          <w:rFonts w:hint="eastAsia" w:ascii="仿宋_GB2312" w:eastAsia="仿宋_GB2312" w:cs="仿宋_GB2312"/>
          <w:bCs/>
          <w:kern w:val="0"/>
          <w:sz w:val="32"/>
          <w:szCs w:val="32"/>
          <w:lang w:val="en-US" w:eastAsia="zh-CN"/>
        </w:rPr>
        <w:t>49.72</w:t>
      </w:r>
      <w:r>
        <w:rPr>
          <w:rFonts w:hint="eastAsia" w:ascii="仿宋_GB2312" w:eastAsia="仿宋_GB2312" w:cs="仿宋_GB2312"/>
          <w:bCs/>
          <w:kern w:val="0"/>
          <w:sz w:val="32"/>
          <w:szCs w:val="32"/>
        </w:rPr>
        <w:t>万元及贫困残疾儿童学前教育资助</w:t>
      </w:r>
      <w:r>
        <w:rPr>
          <w:rFonts w:hint="eastAsia" w:ascii="仿宋_GB2312" w:eastAsia="仿宋_GB2312" w:cs="仿宋_GB2312"/>
          <w:bCs/>
          <w:kern w:val="0"/>
          <w:sz w:val="32"/>
          <w:szCs w:val="32"/>
          <w:lang w:val="en-US" w:eastAsia="zh-CN"/>
        </w:rPr>
        <w:t>19.5</w:t>
      </w:r>
      <w:r>
        <w:rPr>
          <w:rFonts w:hint="eastAsia" w:ascii="仿宋_GB2312" w:eastAsia="仿宋_GB2312" w:cs="仿宋_GB2312"/>
          <w:bCs/>
          <w:kern w:val="0"/>
          <w:sz w:val="32"/>
          <w:szCs w:val="32"/>
        </w:rPr>
        <w:t>万元。</w:t>
      </w:r>
    </w:p>
    <w:p>
      <w:pPr>
        <w:autoSpaceDE w:val="0"/>
        <w:autoSpaceDN w:val="0"/>
        <w:adjustRightInd w:val="0"/>
        <w:ind w:firstLine="643" w:firstLineChars="200"/>
        <w:jc w:val="left"/>
        <w:rPr>
          <w:rFonts w:hint="eastAsia" w:ascii="仿宋_GB2312" w:eastAsia="仿宋_GB2312" w:cs="仿宋_GB2312"/>
          <w:b/>
          <w:bCs w:val="0"/>
          <w:kern w:val="0"/>
          <w:sz w:val="32"/>
          <w:szCs w:val="32"/>
        </w:rPr>
      </w:pPr>
      <w:r>
        <w:rPr>
          <w:rFonts w:hint="eastAsia" w:ascii="仿宋_GB2312" w:eastAsia="仿宋_GB2312" w:cs="仿宋_GB2312"/>
          <w:b/>
          <w:bCs w:val="0"/>
          <w:kern w:val="0"/>
          <w:sz w:val="32"/>
          <w:szCs w:val="32"/>
          <w:lang w:eastAsia="zh-CN"/>
        </w:rPr>
        <w:t>九、</w:t>
      </w:r>
      <w:r>
        <w:rPr>
          <w:rFonts w:hint="eastAsia" w:eastAsia="仿宋_GB2312"/>
          <w:b/>
          <w:kern w:val="0"/>
          <w:sz w:val="32"/>
          <w:szCs w:val="32"/>
          <w:lang w:val="en-US" w:eastAsia="zh-CN"/>
        </w:rPr>
        <w:t>2020</w:t>
      </w:r>
      <w:r>
        <w:rPr>
          <w:rFonts w:hint="eastAsia" w:ascii="仿宋_GB2312" w:eastAsia="仿宋_GB2312" w:cs="仿宋_GB2312"/>
          <w:b/>
          <w:bCs w:val="0"/>
          <w:kern w:val="0"/>
          <w:sz w:val="32"/>
          <w:szCs w:val="32"/>
        </w:rPr>
        <w:t xml:space="preserve"> 年度预算绩效情况说明</w:t>
      </w:r>
    </w:p>
    <w:p>
      <w:pPr>
        <w:numPr>
          <w:ilvl w:val="0"/>
          <w:numId w:val="1"/>
        </w:numPr>
        <w:autoSpaceDE w:val="0"/>
        <w:autoSpaceDN w:val="0"/>
        <w:adjustRightInd w:val="0"/>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 xml:space="preserve">  根据财政预算管理要求，本部门组织对</w:t>
      </w:r>
      <w:r>
        <w:rPr>
          <w:rFonts w:hint="eastAsia" w:ascii="仿宋_GB2312" w:eastAsia="仿宋_GB2312" w:cs="仿宋_GB2312"/>
          <w:bCs/>
          <w:kern w:val="0"/>
          <w:sz w:val="32"/>
          <w:szCs w:val="32"/>
          <w:lang w:val="en-US" w:eastAsia="zh-CN"/>
        </w:rPr>
        <w:t>2020</w:t>
      </w:r>
      <w:r>
        <w:rPr>
          <w:rFonts w:hint="eastAsia" w:ascii="仿宋_GB2312" w:eastAsia="仿宋_GB2312" w:cs="仿宋_GB2312"/>
          <w:bCs/>
          <w:kern w:val="0"/>
          <w:sz w:val="32"/>
          <w:szCs w:val="32"/>
        </w:rPr>
        <w:t>年度一般公共预算</w:t>
      </w:r>
      <w:r>
        <w:rPr>
          <w:rFonts w:hint="eastAsia" w:ascii="仿宋_GB2312" w:eastAsia="仿宋_GB2312" w:cs="仿宋_GB2312"/>
          <w:bCs/>
          <w:kern w:val="0"/>
          <w:sz w:val="32"/>
          <w:szCs w:val="32"/>
          <w:lang w:eastAsia="zh-CN"/>
        </w:rPr>
        <w:t>五</w:t>
      </w:r>
      <w:r>
        <w:rPr>
          <w:rFonts w:hint="eastAsia" w:ascii="仿宋_GB2312" w:eastAsia="仿宋_GB2312" w:cs="仿宋_GB2312"/>
          <w:bCs/>
          <w:kern w:val="0"/>
          <w:sz w:val="32"/>
          <w:szCs w:val="32"/>
        </w:rPr>
        <w:t>个重点项目支出开展绩效自评。</w:t>
      </w:r>
      <w:r>
        <w:rPr>
          <w:rFonts w:hint="eastAsia" w:ascii="仿宋_GB2312" w:eastAsia="仿宋_GB2312" w:cs="仿宋_GB2312"/>
          <w:bCs/>
          <w:kern w:val="0"/>
          <w:sz w:val="32"/>
          <w:szCs w:val="32"/>
          <w:lang w:eastAsia="zh-CN"/>
        </w:rPr>
        <w:t>五</w:t>
      </w:r>
      <w:r>
        <w:rPr>
          <w:rFonts w:hint="eastAsia" w:ascii="仿宋_GB2312" w:eastAsia="仿宋_GB2312" w:cs="仿宋_GB2312"/>
          <w:bCs/>
          <w:kern w:val="0"/>
          <w:sz w:val="32"/>
          <w:szCs w:val="32"/>
        </w:rPr>
        <w:t>个项目均属一级项目，分别是：</w:t>
      </w:r>
      <w:r>
        <w:rPr>
          <w:rFonts w:hint="eastAsia" w:ascii="仿宋_GB2312" w:eastAsia="仿宋_GB2312" w:cs="仿宋_GB2312"/>
          <w:bCs/>
          <w:kern w:val="0"/>
          <w:sz w:val="32"/>
          <w:szCs w:val="32"/>
          <w:highlight w:val="none"/>
        </w:rPr>
        <w:t>残疾人康复经费、公益性岗位残疾人协管员岗位及社会保险补贴、柳州市残疾人康复中心残疾儿童专业用房改造工程，柳州市个体工商户和灵活就业残疾人参加企业职工基本养老保险补贴经费</w:t>
      </w:r>
      <w:r>
        <w:rPr>
          <w:rFonts w:hint="eastAsia" w:ascii="仿宋_GB2312" w:eastAsia="仿宋_GB2312" w:cs="仿宋_GB2312"/>
          <w:bCs/>
          <w:kern w:val="0"/>
          <w:sz w:val="32"/>
          <w:szCs w:val="32"/>
          <w:highlight w:val="none"/>
          <w:lang w:eastAsia="zh-CN"/>
        </w:rPr>
        <w:t>、四城区残保金比例分享经费，</w:t>
      </w:r>
      <w:r>
        <w:rPr>
          <w:rFonts w:hint="eastAsia" w:ascii="仿宋_GB2312" w:eastAsia="仿宋_GB2312" w:cs="仿宋_GB2312"/>
          <w:bCs/>
          <w:kern w:val="0"/>
          <w:sz w:val="32"/>
          <w:szCs w:val="32"/>
          <w:highlight w:val="none"/>
        </w:rPr>
        <w:t xml:space="preserve">自评覆盖率达到100%。 </w:t>
      </w:r>
    </w:p>
    <w:p>
      <w:pPr>
        <w:numPr>
          <w:ilvl w:val="0"/>
          <w:numId w:val="1"/>
        </w:numPr>
        <w:spacing w:line="560" w:lineRule="exact"/>
        <w:ind w:left="0" w:leftChars="0" w:firstLine="640" w:firstLineChars="200"/>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部门决算中项目绩效自评结果</w:t>
      </w:r>
      <w:r>
        <w:rPr>
          <w:rFonts w:hint="eastAsia" w:ascii="仿宋_GB2312" w:eastAsia="仿宋_GB2312" w:cs="仿宋_GB2312"/>
          <w:bCs/>
          <w:kern w:val="0"/>
          <w:sz w:val="32"/>
          <w:szCs w:val="32"/>
          <w:lang w:eastAsia="zh-CN"/>
        </w:rPr>
        <w:t>。</w:t>
      </w:r>
    </w:p>
    <w:p>
      <w:pPr>
        <w:spacing w:line="560" w:lineRule="exact"/>
        <w:ind w:firstLine="640" w:firstLineChars="200"/>
        <w:rPr>
          <w:rFonts w:hint="default" w:ascii="仿宋_GB2312" w:eastAsia="仿宋_GB2312" w:cs="仿宋_GB2312"/>
          <w:bCs/>
          <w:kern w:val="0"/>
          <w:sz w:val="32"/>
          <w:szCs w:val="32"/>
          <w:highlight w:val="none"/>
          <w:lang w:val="en-US" w:eastAsia="zh-CN"/>
        </w:rPr>
      </w:pPr>
      <w:r>
        <w:rPr>
          <w:rFonts w:hint="eastAsia" w:ascii="仿宋_GB2312" w:eastAsia="仿宋_GB2312" w:cs="仿宋_GB2312"/>
          <w:bCs/>
          <w:kern w:val="0"/>
          <w:sz w:val="32"/>
          <w:szCs w:val="32"/>
          <w:lang w:eastAsia="zh-CN"/>
        </w:rPr>
        <w:t>我部门根据年初设定的绩效目标，</w:t>
      </w:r>
      <w:r>
        <w:rPr>
          <w:rFonts w:hint="eastAsia" w:ascii="仿宋_GB2312" w:eastAsia="仿宋_GB2312" w:cs="仿宋_GB2312"/>
          <w:bCs/>
          <w:kern w:val="0"/>
          <w:sz w:val="32"/>
          <w:szCs w:val="32"/>
          <w:highlight w:val="none"/>
        </w:rPr>
        <w:t>残疾人康复经费</w:t>
      </w:r>
      <w:r>
        <w:rPr>
          <w:rFonts w:hint="eastAsia" w:ascii="仿宋_GB2312" w:eastAsia="仿宋_GB2312" w:cs="仿宋_GB2312"/>
          <w:bCs/>
          <w:kern w:val="0"/>
          <w:sz w:val="32"/>
          <w:szCs w:val="32"/>
          <w:highlight w:val="none"/>
          <w:lang w:eastAsia="zh-CN"/>
        </w:rPr>
        <w:t>自评得分</w:t>
      </w:r>
      <w:r>
        <w:rPr>
          <w:rFonts w:hint="eastAsia" w:ascii="仿宋_GB2312" w:eastAsia="仿宋_GB2312" w:cs="仿宋_GB2312"/>
          <w:bCs/>
          <w:kern w:val="0"/>
          <w:sz w:val="32"/>
          <w:szCs w:val="32"/>
          <w:highlight w:val="none"/>
          <w:lang w:val="en-US" w:eastAsia="zh-CN"/>
        </w:rPr>
        <w:t>97.41，无主要问题。</w:t>
      </w:r>
      <w:r>
        <w:rPr>
          <w:rFonts w:hint="eastAsia" w:ascii="仿宋_GB2312" w:eastAsia="仿宋_GB2312" w:cs="仿宋_GB2312"/>
          <w:bCs/>
          <w:kern w:val="0"/>
          <w:sz w:val="32"/>
          <w:szCs w:val="32"/>
          <w:highlight w:val="none"/>
        </w:rPr>
        <w:t>公益性岗位残疾人协管员岗位及社会保险补贴</w:t>
      </w:r>
      <w:r>
        <w:rPr>
          <w:rFonts w:hint="eastAsia" w:ascii="仿宋_GB2312" w:eastAsia="仿宋_GB2312" w:cs="仿宋_GB2312"/>
          <w:bCs/>
          <w:kern w:val="0"/>
          <w:sz w:val="32"/>
          <w:szCs w:val="32"/>
          <w:highlight w:val="none"/>
          <w:lang w:eastAsia="zh-CN"/>
        </w:rPr>
        <w:t>自评得分</w:t>
      </w:r>
      <w:r>
        <w:rPr>
          <w:rFonts w:hint="eastAsia" w:ascii="仿宋_GB2312" w:eastAsia="仿宋_GB2312" w:cs="仿宋_GB2312"/>
          <w:bCs/>
          <w:kern w:val="0"/>
          <w:sz w:val="32"/>
          <w:szCs w:val="32"/>
          <w:highlight w:val="none"/>
          <w:lang w:val="en-US" w:eastAsia="zh-CN"/>
        </w:rPr>
        <w:t>95.45分，主要问题及原因是在岗位人员不足。</w:t>
      </w:r>
      <w:r>
        <w:rPr>
          <w:rFonts w:hint="eastAsia" w:ascii="仿宋_GB2312" w:eastAsia="仿宋_GB2312" w:cs="仿宋_GB2312"/>
          <w:bCs/>
          <w:kern w:val="0"/>
          <w:sz w:val="32"/>
          <w:szCs w:val="32"/>
          <w:highlight w:val="none"/>
        </w:rPr>
        <w:t>柳州市残疾人康复中心残疾儿童专业用房改造工程</w:t>
      </w:r>
      <w:r>
        <w:rPr>
          <w:rFonts w:hint="eastAsia" w:ascii="仿宋_GB2312" w:eastAsia="仿宋_GB2312" w:cs="仿宋_GB2312"/>
          <w:bCs/>
          <w:kern w:val="0"/>
          <w:sz w:val="32"/>
          <w:szCs w:val="32"/>
          <w:highlight w:val="none"/>
          <w:lang w:eastAsia="zh-CN"/>
        </w:rPr>
        <w:t>自评得分</w:t>
      </w:r>
      <w:r>
        <w:rPr>
          <w:rFonts w:hint="eastAsia" w:ascii="仿宋_GB2312" w:eastAsia="仿宋_GB2312" w:cs="仿宋_GB2312"/>
          <w:bCs/>
          <w:kern w:val="0"/>
          <w:sz w:val="32"/>
          <w:szCs w:val="32"/>
          <w:highlight w:val="none"/>
          <w:lang w:val="en-US" w:eastAsia="zh-CN"/>
        </w:rPr>
        <w:t>67.26，主要问题及原因是该工程项目尾款次年结算，影响了支出进度。</w:t>
      </w:r>
      <w:r>
        <w:rPr>
          <w:rFonts w:hint="eastAsia" w:ascii="仿宋_GB2312" w:eastAsia="仿宋_GB2312" w:cs="仿宋_GB2312"/>
          <w:kern w:val="0"/>
          <w:sz w:val="32"/>
          <w:szCs w:val="32"/>
        </w:rPr>
        <w:t>2020年柳州市个体工商户和灵活就业残疾人参加企业职工基本养老保险补贴经费项目自评得分为90 分。</w:t>
      </w:r>
      <w:r>
        <w:rPr>
          <w:rFonts w:hint="eastAsia" w:ascii="仿宋_GB2312" w:eastAsia="仿宋_GB2312" w:cs="仿宋_GB2312"/>
          <w:bCs/>
          <w:kern w:val="0"/>
          <w:sz w:val="32"/>
          <w:szCs w:val="32"/>
          <w:highlight w:val="none"/>
          <w:lang w:eastAsia="zh-CN"/>
        </w:rPr>
        <w:t>四城区残保金比例分享经费自评得分</w:t>
      </w:r>
      <w:r>
        <w:rPr>
          <w:rFonts w:hint="eastAsia" w:ascii="仿宋_GB2312" w:eastAsia="仿宋_GB2312" w:cs="仿宋_GB2312"/>
          <w:bCs/>
          <w:kern w:val="0"/>
          <w:sz w:val="32"/>
          <w:szCs w:val="32"/>
          <w:highlight w:val="none"/>
          <w:lang w:val="en-US" w:eastAsia="zh-CN"/>
        </w:rPr>
        <w:t>98.5，无明显问题。</w:t>
      </w:r>
    </w:p>
    <w:p>
      <w:pPr>
        <w:autoSpaceDE w:val="0"/>
        <w:autoSpaceDN w:val="0"/>
        <w:adjustRightInd w:val="0"/>
        <w:ind w:firstLine="643" w:firstLineChars="200"/>
        <w:jc w:val="left"/>
        <w:rPr>
          <w:rFonts w:hint="eastAsia" w:ascii="仿宋_GB2312" w:eastAsia="仿宋_GB2312" w:cs="仿宋_GB2312"/>
          <w:b/>
          <w:bCs w:val="0"/>
          <w:kern w:val="0"/>
          <w:sz w:val="32"/>
          <w:szCs w:val="32"/>
          <w:lang w:eastAsia="zh-CN"/>
        </w:rPr>
      </w:pPr>
      <w:r>
        <w:rPr>
          <w:rFonts w:hint="eastAsia" w:ascii="仿宋_GB2312" w:eastAsia="仿宋_GB2312" w:cs="仿宋_GB2312"/>
          <w:b/>
          <w:bCs w:val="0"/>
          <w:kern w:val="0"/>
          <w:sz w:val="32"/>
          <w:szCs w:val="32"/>
          <w:lang w:eastAsia="zh-CN"/>
        </w:rPr>
        <w:t>十、</w:t>
      </w:r>
      <w:r>
        <w:rPr>
          <w:rFonts w:hint="eastAsia" w:ascii="仿宋_GB2312" w:eastAsia="仿宋_GB2312" w:cs="仿宋_GB2312"/>
          <w:b/>
          <w:bCs w:val="0"/>
          <w:kern w:val="0"/>
          <w:sz w:val="32"/>
          <w:szCs w:val="32"/>
        </w:rPr>
        <w:t>其他重要事项的情况</w:t>
      </w:r>
    </w:p>
    <w:p>
      <w:pPr>
        <w:autoSpaceDE w:val="0"/>
        <w:autoSpaceDN w:val="0"/>
        <w:adjustRightInd w:val="0"/>
        <w:ind w:firstLine="640" w:firstLineChars="200"/>
        <w:jc w:val="left"/>
        <w:rPr>
          <w:rFonts w:hint="default" w:ascii="仿宋_GB2312" w:eastAsia="仿宋_GB2312" w:cs="仿宋_GB2312"/>
          <w:kern w:val="0"/>
          <w:sz w:val="32"/>
          <w:szCs w:val="32"/>
          <w:lang w:val="en-US" w:eastAsia="zh-CN"/>
        </w:rPr>
      </w:pPr>
      <w:r>
        <w:rPr>
          <w:rFonts w:hint="eastAsia" w:ascii="仿宋_GB2312" w:eastAsia="仿宋_GB2312" w:cs="仿宋_GB2312"/>
          <w:kern w:val="0"/>
          <w:sz w:val="32"/>
          <w:szCs w:val="32"/>
        </w:rPr>
        <w:t>（一）机关运行经费支出情况。</w:t>
      </w:r>
      <w:r>
        <w:rPr>
          <w:rFonts w:hint="eastAsia" w:ascii="仿宋_GB2312" w:eastAsia="仿宋_GB2312" w:cs="仿宋_GB2312"/>
          <w:kern w:val="0"/>
          <w:sz w:val="32"/>
          <w:szCs w:val="32"/>
          <w:lang w:val="en-US" w:eastAsia="zh-CN"/>
        </w:rPr>
        <w:t>2020</w:t>
      </w:r>
      <w:r>
        <w:rPr>
          <w:rFonts w:hint="eastAsia" w:ascii="仿宋_GB2312" w:eastAsia="仿宋_GB2312" w:cs="仿宋_GB2312"/>
          <w:kern w:val="0"/>
          <w:sz w:val="32"/>
          <w:szCs w:val="32"/>
        </w:rPr>
        <w:t>年度部门机关运行经费支出</w:t>
      </w:r>
      <w:r>
        <w:rPr>
          <w:rFonts w:hint="eastAsia" w:ascii="仿宋_GB2312" w:eastAsia="仿宋_GB2312" w:cs="仿宋_GB2312"/>
          <w:kern w:val="0"/>
          <w:sz w:val="32"/>
          <w:szCs w:val="32"/>
          <w:lang w:val="en-US" w:eastAsia="zh-CN"/>
        </w:rPr>
        <w:t>20.09</w:t>
      </w:r>
      <w:r>
        <w:rPr>
          <w:rFonts w:hint="eastAsia" w:ascii="仿宋_GB2312" w:eastAsia="仿宋_GB2312" w:cs="仿宋_GB2312"/>
          <w:kern w:val="0"/>
          <w:sz w:val="32"/>
          <w:szCs w:val="32"/>
        </w:rPr>
        <w:t xml:space="preserve">万元，比 </w:t>
      </w:r>
      <w:r>
        <w:rPr>
          <w:rFonts w:hint="eastAsia" w:ascii="仿宋_GB2312" w:eastAsia="仿宋_GB2312" w:cs="仿宋_GB2312"/>
          <w:kern w:val="0"/>
          <w:sz w:val="32"/>
          <w:szCs w:val="32"/>
          <w:lang w:val="en-US" w:eastAsia="zh-CN"/>
        </w:rPr>
        <w:t>2019</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19.82</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49.66</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rPr>
        <w:t>原因是</w:t>
      </w:r>
      <w:r>
        <w:rPr>
          <w:rFonts w:hint="eastAsia" w:ascii="仿宋_GB2312" w:eastAsia="仿宋_GB2312" w:cs="仿宋_GB2312"/>
          <w:kern w:val="0"/>
          <w:sz w:val="32"/>
          <w:szCs w:val="32"/>
          <w:lang w:val="en-US" w:eastAsia="zh-CN"/>
        </w:rPr>
        <w:t>2019年的在职人员公务交通补贴列支在一般公共预算财政拨款日常公用经费基本支出科目，而2019年列支在一般公共预算财政拨款日常人员经费基本支出科目。</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（二）政府采购支出情况</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2020</w:t>
      </w:r>
      <w:r>
        <w:rPr>
          <w:rFonts w:hint="eastAsia" w:ascii="仿宋_GB2312" w:eastAsia="仿宋_GB2312" w:cs="仿宋_GB2312"/>
          <w:kern w:val="0"/>
          <w:sz w:val="32"/>
          <w:szCs w:val="32"/>
        </w:rPr>
        <w:t>年度部门政府采购支出总额</w:t>
      </w:r>
      <w:r>
        <w:rPr>
          <w:rFonts w:hint="eastAsia" w:ascii="仿宋_GB2312" w:eastAsia="仿宋_GB2312" w:cs="仿宋_GB2312"/>
          <w:kern w:val="0"/>
          <w:sz w:val="32"/>
          <w:szCs w:val="32"/>
          <w:lang w:val="en-US" w:eastAsia="zh-CN"/>
        </w:rPr>
        <w:t>265.31</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其中：货物支出</w:t>
      </w:r>
      <w:r>
        <w:rPr>
          <w:rFonts w:hint="eastAsia" w:ascii="仿宋_GB2312" w:eastAsia="仿宋_GB2312" w:cs="仿宋_GB2312"/>
          <w:kern w:val="0"/>
          <w:sz w:val="32"/>
          <w:szCs w:val="32"/>
          <w:lang w:val="en-US" w:eastAsia="zh-CN"/>
        </w:rPr>
        <w:t>179.72</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85.59</w:t>
      </w:r>
      <w:r>
        <w:rPr>
          <w:rFonts w:hint="eastAsia" w:ascii="仿宋_GB2312" w:eastAsia="仿宋_GB2312" w:cs="仿宋_GB2312"/>
          <w:kern w:val="0"/>
          <w:sz w:val="32"/>
          <w:szCs w:val="32"/>
        </w:rPr>
        <w:t>万元。</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 xml:space="preserve">（三）国有资产占用情况。截至年末部门共有车辆1辆，其中：专业技术用车1辆；单价50万元以上通用设备1台。 </w:t>
      </w:r>
    </w:p>
    <w:p>
      <w:pPr>
        <w:ind w:firstLine="645"/>
        <w:rPr>
          <w:rFonts w:hint="eastAsia" w:ascii="仿宋_GB2312" w:eastAsia="仿宋_GB2312"/>
          <w:b/>
          <w:sz w:val="32"/>
          <w:szCs w:val="32"/>
          <w:lang w:eastAsia="zh-CN"/>
        </w:rPr>
      </w:pPr>
      <w:r>
        <w:rPr>
          <w:rFonts w:hint="eastAsia" w:ascii="仿宋_GB2312" w:eastAsia="仿宋_GB2312"/>
          <w:b/>
          <w:sz w:val="32"/>
          <w:szCs w:val="32"/>
        </w:rPr>
        <w:t>第</w:t>
      </w:r>
      <w:r>
        <w:rPr>
          <w:rFonts w:hint="eastAsia" w:ascii="仿宋_GB2312" w:eastAsia="仿宋_GB2312"/>
          <w:b/>
          <w:sz w:val="32"/>
          <w:szCs w:val="32"/>
          <w:lang w:eastAsia="zh-CN"/>
        </w:rPr>
        <w:t>四</w:t>
      </w:r>
      <w:r>
        <w:rPr>
          <w:rFonts w:hint="eastAsia" w:ascii="仿宋_GB2312" w:eastAsia="仿宋_GB2312"/>
          <w:b/>
          <w:sz w:val="32"/>
          <w:szCs w:val="32"/>
        </w:rPr>
        <w:t>部分：</w:t>
      </w:r>
      <w:r>
        <w:rPr>
          <w:rFonts w:hint="eastAsia" w:ascii="仿宋_GB2312" w:eastAsia="仿宋_GB2312"/>
          <w:b/>
          <w:sz w:val="32"/>
          <w:szCs w:val="32"/>
          <w:lang w:eastAsia="zh-CN"/>
        </w:rPr>
        <w:t>名词解释</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事业收入：指事业单位开展专业活动用辅助活动所取得的收入。如：柳州市残疾人康复中心承接各级残联为有康复需求的残疾人提供的辅助器具适配取得的收入等。</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其他收入：指除上述“财政拨款收入”、“事业收入”、“经营收入”等以外的收入。主要是：银行利息收入。</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 xml:space="preserve"> “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2"/>
        </w:numPr>
        <w:ind w:firstLine="645"/>
        <w:rPr>
          <w:rFonts w:hint="eastAsia"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p>
    <w:p/>
    <w:sectPr>
      <w:pgSz w:w="11906" w:h="16838"/>
      <w:pgMar w:top="1383"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30"/>
        <w:szCs w:val="30"/>
      </w:rPr>
    </w:pPr>
    <w:r>
      <w:rPr>
        <w:sz w:val="30"/>
        <w:szCs w:val="30"/>
      </w:rPr>
      <w:fldChar w:fldCharType="begin"/>
    </w:r>
    <w:r>
      <w:rPr>
        <w:rStyle w:val="6"/>
        <w:sz w:val="30"/>
        <w:szCs w:val="30"/>
      </w:rPr>
      <w:instrText xml:space="preserve">PAGE  </w:instrText>
    </w:r>
    <w:r>
      <w:rPr>
        <w:sz w:val="30"/>
        <w:szCs w:val="30"/>
      </w:rPr>
      <w:fldChar w:fldCharType="separate"/>
    </w:r>
    <w:r>
      <w:rPr>
        <w:rStyle w:val="6"/>
        <w:sz w:val="30"/>
        <w:szCs w:val="30"/>
      </w:rPr>
      <w:t>- 16 -</w:t>
    </w:r>
    <w:r>
      <w:rPr>
        <w:sz w:val="30"/>
        <w:szCs w:val="30"/>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C894F"/>
    <w:multiLevelType w:val="singleLevel"/>
    <w:tmpl w:val="5B3C894F"/>
    <w:lvl w:ilvl="0" w:tentative="0">
      <w:start w:val="1"/>
      <w:numFmt w:val="chineseCounting"/>
      <w:suff w:val="nothing"/>
      <w:lvlText w:val="（%1）"/>
      <w:lvlJc w:val="left"/>
    </w:lvl>
  </w:abstractNum>
  <w:abstractNum w:abstractNumId="1">
    <w:nsid w:val="5B3C8BA7"/>
    <w:multiLevelType w:val="singleLevel"/>
    <w:tmpl w:val="5B3C8BA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YmJjMTk4ZjBiZmVhZTUzOWNkMjEzNTdmYTFiYTAifQ=="/>
  </w:docVars>
  <w:rsids>
    <w:rsidRoot w:val="00172A27"/>
    <w:rsid w:val="03205376"/>
    <w:rsid w:val="04576130"/>
    <w:rsid w:val="04EF3CDE"/>
    <w:rsid w:val="09343478"/>
    <w:rsid w:val="0B4109E3"/>
    <w:rsid w:val="0D355BD8"/>
    <w:rsid w:val="0D4C78BD"/>
    <w:rsid w:val="0F010435"/>
    <w:rsid w:val="0FCE4AE0"/>
    <w:rsid w:val="10861CB0"/>
    <w:rsid w:val="170C0F7D"/>
    <w:rsid w:val="18241D84"/>
    <w:rsid w:val="18B73993"/>
    <w:rsid w:val="1A9F2F51"/>
    <w:rsid w:val="1B6848B0"/>
    <w:rsid w:val="1C286558"/>
    <w:rsid w:val="1DFB3BE0"/>
    <w:rsid w:val="1DFF2747"/>
    <w:rsid w:val="1F0449FF"/>
    <w:rsid w:val="1FC236C1"/>
    <w:rsid w:val="20970AC6"/>
    <w:rsid w:val="26460DBA"/>
    <w:rsid w:val="290128D1"/>
    <w:rsid w:val="29DC7ED1"/>
    <w:rsid w:val="29E82DBD"/>
    <w:rsid w:val="2C4219FE"/>
    <w:rsid w:val="2D2473FC"/>
    <w:rsid w:val="2DC84D69"/>
    <w:rsid w:val="2DD10A68"/>
    <w:rsid w:val="2EF27184"/>
    <w:rsid w:val="2EFA49A9"/>
    <w:rsid w:val="307E5D8A"/>
    <w:rsid w:val="30E630DF"/>
    <w:rsid w:val="318F1765"/>
    <w:rsid w:val="333C5D8B"/>
    <w:rsid w:val="34A405D0"/>
    <w:rsid w:val="34BD6D0A"/>
    <w:rsid w:val="356564FF"/>
    <w:rsid w:val="36B9176F"/>
    <w:rsid w:val="39A63F06"/>
    <w:rsid w:val="3A8B1492"/>
    <w:rsid w:val="3ED1439F"/>
    <w:rsid w:val="3F260F89"/>
    <w:rsid w:val="41BF3C3E"/>
    <w:rsid w:val="4337490C"/>
    <w:rsid w:val="437006D9"/>
    <w:rsid w:val="4395786A"/>
    <w:rsid w:val="445F005C"/>
    <w:rsid w:val="44C6288E"/>
    <w:rsid w:val="455844E9"/>
    <w:rsid w:val="45697EC4"/>
    <w:rsid w:val="457E2341"/>
    <w:rsid w:val="463C2CFD"/>
    <w:rsid w:val="470276BB"/>
    <w:rsid w:val="48F12759"/>
    <w:rsid w:val="4B545EAC"/>
    <w:rsid w:val="4BA321E8"/>
    <w:rsid w:val="4C256E3D"/>
    <w:rsid w:val="4CB52F0F"/>
    <w:rsid w:val="4F2F1129"/>
    <w:rsid w:val="518F6BA3"/>
    <w:rsid w:val="532F1F9A"/>
    <w:rsid w:val="53CD26A9"/>
    <w:rsid w:val="54166F16"/>
    <w:rsid w:val="5F8F158D"/>
    <w:rsid w:val="608A7986"/>
    <w:rsid w:val="6126226E"/>
    <w:rsid w:val="62163194"/>
    <w:rsid w:val="634F3F7E"/>
    <w:rsid w:val="664D2ADA"/>
    <w:rsid w:val="6C6021D6"/>
    <w:rsid w:val="6CBB4CF5"/>
    <w:rsid w:val="6DDC699F"/>
    <w:rsid w:val="6E806558"/>
    <w:rsid w:val="701C349A"/>
    <w:rsid w:val="713D28F7"/>
    <w:rsid w:val="725F02E1"/>
    <w:rsid w:val="734B4421"/>
    <w:rsid w:val="73951C43"/>
    <w:rsid w:val="75886935"/>
    <w:rsid w:val="76D95799"/>
    <w:rsid w:val="77002F29"/>
    <w:rsid w:val="772A5FEE"/>
    <w:rsid w:val="7C9D4C3B"/>
    <w:rsid w:val="7E77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font01"/>
    <w:basedOn w:val="5"/>
    <w:qFormat/>
    <w:uiPriority w:val="0"/>
    <w:rPr>
      <w:rFonts w:hint="default" w:ascii="Times New Roman" w:hAnsi="Times New Roman" w:cs="Times New Roman"/>
      <w:color w:val="000000"/>
      <w:sz w:val="24"/>
      <w:szCs w:val="24"/>
      <w:u w:val="none"/>
    </w:rPr>
  </w:style>
  <w:style w:type="character" w:customStyle="1" w:styleId="8">
    <w:name w:val="font51"/>
    <w:basedOn w:val="5"/>
    <w:qFormat/>
    <w:uiPriority w:val="0"/>
    <w:rPr>
      <w:rFonts w:hint="eastAsia" w:ascii="宋体" w:hAnsi="宋体" w:eastAsia="宋体" w:cs="宋体"/>
      <w:color w:val="000000"/>
      <w:sz w:val="24"/>
      <w:szCs w:val="24"/>
      <w:u w:val="none"/>
    </w:rPr>
  </w:style>
  <w:style w:type="character" w:customStyle="1" w:styleId="9">
    <w:name w:val="font7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4"/>
      <w:szCs w:val="24"/>
      <w:u w:val="none"/>
    </w:rPr>
  </w:style>
  <w:style w:type="character" w:customStyle="1" w:styleId="11">
    <w:name w:val="font11"/>
    <w:basedOn w:val="5"/>
    <w:qFormat/>
    <w:uiPriority w:val="0"/>
    <w:rPr>
      <w:rFonts w:hint="default" w:ascii="Times New Roman" w:hAnsi="Times New Roman" w:cs="Times New Roman"/>
      <w:color w:val="000000"/>
      <w:sz w:val="18"/>
      <w:szCs w:val="18"/>
      <w:u w:val="none"/>
    </w:rPr>
  </w:style>
  <w:style w:type="character" w:customStyle="1" w:styleId="12">
    <w:name w:val="font3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9200</Words>
  <Characters>12973</Characters>
  <Lines>0</Lines>
  <Paragraphs>0</Paragraphs>
  <TotalTime>0</TotalTime>
  <ScaleCrop>false</ScaleCrop>
  <LinksUpToDate>false</LinksUpToDate>
  <CharactersWithSpaces>13372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songsong</cp:lastModifiedBy>
  <cp:lastPrinted>2021-08-03T09:00:00Z</cp:lastPrinted>
  <dcterms:modified xsi:type="dcterms:W3CDTF">2022-08-31T08:49:04Z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F45955788D984AF0BD1C5FDB679A7AD3</vt:lpwstr>
  </property>
</Properties>
</file>