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残疾人劳动就业服务中心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表八：政府性基金预算财政拨款收入支出决算表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eastAsia="仿宋_GB2312"/>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w:t>
      </w:r>
      <w:r>
        <w:rPr>
          <w:rFonts w:hint="eastAsia" w:eastAsia="仿宋_GB2312"/>
          <w:kern w:val="0"/>
          <w:sz w:val="32"/>
          <w:szCs w:val="32"/>
        </w:rPr>
        <w:t>况</w:t>
      </w:r>
    </w:p>
    <w:p>
      <w:pPr>
        <w:ind w:left="645"/>
        <w:rPr>
          <w:rFonts w:eastAsia="仿宋_GB2312"/>
          <w:kern w:val="0"/>
          <w:sz w:val="32"/>
          <w:szCs w:val="32"/>
        </w:rPr>
      </w:pPr>
      <w:r>
        <w:rPr>
          <w:rFonts w:hint="eastAsia" w:eastAsia="仿宋_GB2312"/>
          <w:kern w:val="0"/>
          <w:sz w:val="32"/>
          <w:szCs w:val="32"/>
        </w:rPr>
        <w:t>九、国有资本经营预算财政拨款支出决算情况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（一）集中和按比例安排残疾人就业。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（二）扶持、建立残疾人辅助性就业机构，开展残疾人辅助性就业工作。</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pPr>
        <w:pStyle w:val="5"/>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决算反应柳州市残疾人劳动就业服务中心经费收支情况。</w:t>
      </w:r>
    </w:p>
    <w:p>
      <w:pPr>
        <w:pStyle w:val="5"/>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firstLine="627" w:firstLineChars="196"/>
        <w:rPr>
          <w:rFonts w:ascii="仿宋_GB2312" w:eastAsia="仿宋_GB2312"/>
          <w:b/>
          <w:sz w:val="32"/>
          <w:szCs w:val="32"/>
        </w:rPr>
      </w:pPr>
      <w:r>
        <w:rPr>
          <w:rFonts w:hint="eastAsia" w:ascii="仿宋_GB2312" w:hAnsi="黑体" w:eastAsia="仿宋_GB2312"/>
          <w:sz w:val="32"/>
          <w:szCs w:val="32"/>
        </w:rPr>
        <w:t>详见《柳州市残疾人劳动就业服务中心2020年度</w:t>
      </w:r>
      <w:r>
        <w:rPr>
          <w:rFonts w:hint="eastAsia" w:ascii="仿宋_GB2312" w:hAnsi="黑体" w:eastAsia="仿宋_GB2312"/>
          <w:sz w:val="32"/>
          <w:szCs w:val="32"/>
          <w:lang w:eastAsia="zh-CN"/>
        </w:rPr>
        <w:t>单位决算</w:t>
      </w:r>
      <w:r>
        <w:rPr>
          <w:rFonts w:hint="eastAsia" w:ascii="仿宋_GB2312" w:hAnsi="黑体" w:eastAsia="仿宋_GB2312"/>
          <w:sz w:val="32"/>
          <w:szCs w:val="32"/>
        </w:rPr>
        <w:t>报表》</w:t>
      </w:r>
    </w:p>
    <w:p>
      <w:pPr>
        <w:jc w:val="cente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2020年度收入总计741.58万元，支出总计760.24万元，与2019年相比，收入增加294.89万元；增长39.77%，支出增加400.08万元；增长111%。</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本年收入总计741.58万元 ，其中：一般公共预算财政拨款收入738.59万元；占比99.6%；其他收入2.99万元，占比0.4%。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760.24 万元，其中：基本支出 130.25万元，占 17.13%；项目支出 629.99万元， 占82.87%。</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 738.59万元、754.57万元。</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754.57 万元，占本年支出合计的 99.25%。</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754.57万元，主要用于以下方面：社会保障和就业（类）支出754.57万元，占100%；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754.57万元，支出决算为754.57万元，完成年初预算的100%。</w:t>
      </w:r>
    </w:p>
    <w:p>
      <w:pPr>
        <w:autoSpaceDE w:val="0"/>
        <w:autoSpaceDN w:val="0"/>
        <w:adjustRightInd w:val="0"/>
        <w:spacing w:line="580" w:lineRule="exact"/>
        <w:ind w:firstLine="643" w:firstLineChars="200"/>
        <w:jc w:val="left"/>
        <w:rPr>
          <w:rFonts w:eastAsia="仿宋_GB2312"/>
          <w:b/>
          <w:kern w:val="0"/>
          <w:sz w:val="32"/>
          <w:szCs w:val="32"/>
        </w:rPr>
      </w:pPr>
      <w:r>
        <w:rPr>
          <w:rFonts w:hint="eastAsia" w:eastAsia="仿宋_GB2312"/>
          <w:b/>
          <w:kern w:val="0"/>
          <w:sz w:val="32"/>
          <w:szCs w:val="32"/>
        </w:rPr>
        <w:t>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2020年度财政拨款基本支出754.57万元，其中：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人员经费117.26万元，主要包括：基本工资27.43万元、津贴补贴5.44万元、 奖金0.15万元、绩效工资51.24万元、机关事业单位基本养老保险缴费8.44万元、职业年金缴费7.71万元、职工基本医疗保险缴费3.53万元、其他社会保障缴费0.38万元、其他工资福利支出0.02万元、退休费1.81万元、住房公积金11.11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公用经费12.99万元，主要包括：办公费0.56万元、水费0.05万元、电费0.38万元、邮电费0.1万元、差旅费2.42万元、维 修（护）费0.72万元、培训费0.04万元、公务接待费0.03万元、工会经费1.51万元、其他交通费用0.42万元、其他商品和服务支出6.75万元。</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0.03万元，支出决算为0.03万元，完成预算的100%，其中：因公出国（境）费支出决算为0万元，完成预算的0%；公务用车购置及运行费支出决算为0万元，完成预算的0%；公务接待费支出决算为0.03万元，完成预算的100%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支出决算0万元，占0 %；公务接待费支出决算0.03 万元，占100%。具体情况如下：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公务用车购置支出为0万元。公务用车运行支出0万元。2020年，机关所属单位开支财政拨款的公务用车保有量为0辆。</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外宾接待支出0万元。主要用于0开展0工作发生的外宾接待支出。2020 年共接待国（境）外来访团组0个、来访外宾0人次。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国内公务接待支出0.03万元。主要用于接待自治区检查残疾人就业工作。2020 年共接待国内来访团组0个、来宾3人次。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eastAsia="仿宋_GB2312"/>
          <w:b/>
          <w:kern w:val="0"/>
          <w:sz w:val="32"/>
          <w:szCs w:val="32"/>
        </w:rPr>
        <w:t xml:space="preserve"> 八、2020 年度政府性基金预算财政拨款收入支出决算情</w:t>
      </w:r>
      <w:r>
        <w:rPr>
          <w:rFonts w:hint="eastAsia" w:ascii="仿宋_GB2312" w:eastAsia="仿宋_GB2312" w:cs="仿宋_GB2312"/>
          <w:b/>
          <w:kern w:val="0"/>
          <w:sz w:val="32"/>
          <w:szCs w:val="32"/>
        </w:rPr>
        <w:t xml:space="preserve">况说明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没有相关收入，也没有相关安排的支出。</w:t>
      </w:r>
    </w:p>
    <w:p>
      <w:pPr>
        <w:numPr>
          <w:ilvl w:val="0"/>
          <w:numId w:val="1"/>
        </w:numPr>
        <w:autoSpaceDE w:val="0"/>
        <w:autoSpaceDN w:val="0"/>
        <w:adjustRightInd w:val="0"/>
        <w:spacing w:line="580" w:lineRule="exact"/>
        <w:ind w:firstLine="643" w:firstLineChars="200"/>
        <w:jc w:val="left"/>
        <w:rPr>
          <w:rFonts w:eastAsia="仿宋_GB2312"/>
          <w:b/>
          <w:kern w:val="0"/>
          <w:sz w:val="32"/>
          <w:szCs w:val="32"/>
        </w:rPr>
      </w:pPr>
      <w:r>
        <w:rPr>
          <w:rFonts w:hint="eastAsia" w:eastAsia="仿宋_GB2312"/>
          <w:b/>
          <w:kern w:val="0"/>
          <w:sz w:val="32"/>
          <w:szCs w:val="32"/>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没有相关收入，也没有相关安排的支出。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根据财政预算管理要求，我部门组织对2020年度一般公共预算项目支出全面开展绩效自评。其中，一级项目1个，共涉及预算资金399.68万元，自评覆盖率达到90%</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单位决算</w:t>
      </w:r>
      <w:r>
        <w:rPr>
          <w:rFonts w:hint="eastAsia" w:ascii="仿宋_GB2312" w:eastAsia="仿宋_GB2312" w:cs="仿宋_GB2312"/>
          <w:bCs/>
          <w:kern w:val="0"/>
          <w:sz w:val="32"/>
          <w:szCs w:val="32"/>
        </w:rPr>
        <w:t>中项目绩效自评结果。</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我部门根据年初设定的绩效目标，2020年柳州市个体工商户和灵活就业残疾人参加企业职工基本养老保险补贴经费项目自评得分为90 分。发现的主要问题及原因：一是绩效目标是否明确，内容是否具体，层次是否分明，表述是否准确；二是绩效目标是否清晰，是否能够反映项目的主要内容，是否对项目预期产出和效果进行了充分、恰当的描述。下一步改进措施：一是内容具体化，层次分明，表述更准确；</w:t>
      </w:r>
      <w:bookmarkStart w:id="0" w:name="_GoBack"/>
      <w:bookmarkEnd w:id="0"/>
      <w:r>
        <w:rPr>
          <w:rFonts w:hint="eastAsia" w:ascii="仿宋_GB2312" w:eastAsia="仿宋_GB2312" w:cs="仿宋_GB2312"/>
          <w:kern w:val="0"/>
          <w:sz w:val="32"/>
          <w:szCs w:val="32"/>
        </w:rPr>
        <w:t>二是对项目预期产出和效果进行充分、恰当的描述。在公开项目绩效自评结果的同时，需公开《项目支出绩效自评表》。</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（一）政府采购支出情况。2020年度部门政府采购支出总额36.13万元，其中：货物支出9.21万元、工程支出0万元、服务支出26.92万元。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- 2 -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AyZGQ2M2IyMGYwY2E2NTY3NWY0YzRlYWY1YWIwNTYifQ=="/>
  </w:docVars>
  <w:rsids>
    <w:rsidRoot w:val="4C256E3D"/>
    <w:rsid w:val="00055CAE"/>
    <w:rsid w:val="00066CA3"/>
    <w:rsid w:val="000C311E"/>
    <w:rsid w:val="001911D0"/>
    <w:rsid w:val="002526B4"/>
    <w:rsid w:val="00285D31"/>
    <w:rsid w:val="0029553E"/>
    <w:rsid w:val="002C4CA9"/>
    <w:rsid w:val="00336A1F"/>
    <w:rsid w:val="00442507"/>
    <w:rsid w:val="004B61CD"/>
    <w:rsid w:val="005266AC"/>
    <w:rsid w:val="005320DC"/>
    <w:rsid w:val="00546504"/>
    <w:rsid w:val="00621E89"/>
    <w:rsid w:val="006467C5"/>
    <w:rsid w:val="006B7D4A"/>
    <w:rsid w:val="006C1367"/>
    <w:rsid w:val="00715385"/>
    <w:rsid w:val="00740395"/>
    <w:rsid w:val="00751F27"/>
    <w:rsid w:val="0084519E"/>
    <w:rsid w:val="00877C8F"/>
    <w:rsid w:val="008E42D7"/>
    <w:rsid w:val="008E69D7"/>
    <w:rsid w:val="00936739"/>
    <w:rsid w:val="00A57480"/>
    <w:rsid w:val="00B36D15"/>
    <w:rsid w:val="00BA2C1A"/>
    <w:rsid w:val="00BC4E9B"/>
    <w:rsid w:val="00C345E9"/>
    <w:rsid w:val="00C9271A"/>
    <w:rsid w:val="00CB12C1"/>
    <w:rsid w:val="00D0219F"/>
    <w:rsid w:val="00D624DF"/>
    <w:rsid w:val="00D90DE7"/>
    <w:rsid w:val="00E57E48"/>
    <w:rsid w:val="00EA01DA"/>
    <w:rsid w:val="00F2024C"/>
    <w:rsid w:val="00F66C5B"/>
    <w:rsid w:val="00FA5011"/>
    <w:rsid w:val="00FD70B0"/>
    <w:rsid w:val="00FF2C54"/>
    <w:rsid w:val="0E074DDF"/>
    <w:rsid w:val="124204B5"/>
    <w:rsid w:val="182962AB"/>
    <w:rsid w:val="19D073EB"/>
    <w:rsid w:val="1CC31F67"/>
    <w:rsid w:val="24D337DC"/>
    <w:rsid w:val="26460DBA"/>
    <w:rsid w:val="2B6F74EB"/>
    <w:rsid w:val="2C4219FE"/>
    <w:rsid w:val="34020F86"/>
    <w:rsid w:val="382F2D48"/>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3409</Words>
  <Characters>3799</Characters>
  <Lines>28</Lines>
  <Paragraphs>7</Paragraphs>
  <TotalTime>195</TotalTime>
  <ScaleCrop>false</ScaleCrop>
  <LinksUpToDate>false</LinksUpToDate>
  <CharactersWithSpaces>3890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2021-07-19T09:33:00Z</dcterms:created>
  <dc:creator>陈冬雪</dc:creator>
  <cp:lastModifiedBy>Administrator</cp:lastModifiedBy>
  <cp:lastPrinted>2021-07-07T01:10:00Z</cp:lastPrinted>
  <dcterms:modified xsi:type="dcterms:W3CDTF">2022-09-01T09:39:31Z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301B1EE473FA4D9B9B9766CD692E3D4C</vt:lpwstr>
  </property>
</Properties>
</file>